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3D" w:rsidRPr="00AB6393" w:rsidRDefault="00E17260">
      <w:pPr>
        <w:pStyle w:val="1"/>
        <w:spacing w:after="160"/>
        <w:jc w:val="center"/>
        <w:rPr>
          <w:lang w:val="bg-BG"/>
        </w:rPr>
      </w:pPr>
      <w:bookmarkStart w:id="0" w:name="_skmesmjvxfa9" w:colFirst="0" w:colLast="0"/>
      <w:bookmarkStart w:id="1" w:name="_GoBack"/>
      <w:bookmarkEnd w:id="0"/>
      <w:bookmarkEnd w:id="1"/>
      <w:r w:rsidRPr="00AB6393">
        <w:rPr>
          <w:lang w:val="bg-BG"/>
        </w:rPr>
        <w:t xml:space="preserve">Общи насоки за писане на становище относно </w:t>
      </w:r>
      <w:r w:rsidR="00517B6C" w:rsidRPr="00AB6393">
        <w:rPr>
          <w:lang w:val="bg-BG"/>
        </w:rPr>
        <w:t>допълнено заявление за издаване на</w:t>
      </w:r>
      <w:r w:rsidRPr="00AB6393">
        <w:rPr>
          <w:lang w:val="bg-BG"/>
        </w:rPr>
        <w:t xml:space="preserve"> комплексно разрешително на “Брикел“ ЕАД</w:t>
      </w:r>
    </w:p>
    <w:p w:rsidR="00AD3F3D" w:rsidRPr="00AB6393" w:rsidRDefault="00AD3F3D">
      <w:pPr>
        <w:spacing w:after="160"/>
        <w:rPr>
          <w:sz w:val="24"/>
          <w:szCs w:val="24"/>
          <w:lang w:val="bg-BG"/>
        </w:rPr>
      </w:pPr>
    </w:p>
    <w:p w:rsidR="00AD3F3D" w:rsidRPr="00AB6393" w:rsidRDefault="00517B6C">
      <w:pPr>
        <w:numPr>
          <w:ilvl w:val="0"/>
          <w:numId w:val="2"/>
        </w:numPr>
        <w:spacing w:after="160"/>
        <w:rPr>
          <w:sz w:val="24"/>
          <w:szCs w:val="24"/>
          <w:lang w:val="bg-BG"/>
        </w:rPr>
      </w:pPr>
      <w:r w:rsidRPr="00AB6393">
        <w:rPr>
          <w:b/>
          <w:sz w:val="24"/>
          <w:szCs w:val="24"/>
          <w:lang w:val="bg-BG"/>
        </w:rPr>
        <w:t xml:space="preserve">Запознайте се с допълненото </w:t>
      </w:r>
      <w:r w:rsidR="00E17260" w:rsidRPr="00AB6393">
        <w:rPr>
          <w:b/>
          <w:sz w:val="24"/>
          <w:szCs w:val="24"/>
          <w:lang w:val="bg-BG"/>
        </w:rPr>
        <w:t>заявление</w:t>
      </w:r>
      <w:r w:rsidRPr="00AB6393">
        <w:rPr>
          <w:b/>
          <w:sz w:val="24"/>
          <w:szCs w:val="24"/>
          <w:lang w:val="bg-BG"/>
        </w:rPr>
        <w:t xml:space="preserve"> за</w:t>
      </w:r>
      <w:r w:rsidR="00E17260" w:rsidRPr="00AB6393">
        <w:rPr>
          <w:b/>
          <w:sz w:val="24"/>
          <w:szCs w:val="24"/>
          <w:lang w:val="bg-BG"/>
        </w:rPr>
        <w:t xml:space="preserve"> комплексно разрешително (КР) тук: </w:t>
      </w:r>
      <w:hyperlink r:id="rId5">
        <w:r w:rsidR="00E17260" w:rsidRPr="00AB6393">
          <w:rPr>
            <w:b/>
            <w:color w:val="1155CC"/>
            <w:sz w:val="24"/>
            <w:szCs w:val="24"/>
            <w:u w:val="single"/>
            <w:lang w:val="bg-BG"/>
          </w:rPr>
          <w:t>http://eea.government.bg/bg/obyavi/notices</w:t>
        </w:r>
      </w:hyperlink>
    </w:p>
    <w:p w:rsidR="00AD3F3D" w:rsidRPr="00AB6393" w:rsidRDefault="00E17260">
      <w:pPr>
        <w:spacing w:after="160"/>
        <w:ind w:left="720"/>
        <w:jc w:val="center"/>
        <w:rPr>
          <w:b/>
          <w:sz w:val="24"/>
          <w:szCs w:val="24"/>
          <w:lang w:val="bg-BG"/>
        </w:rPr>
      </w:pPr>
      <w:r w:rsidRPr="00AB6393">
        <w:rPr>
          <w:b/>
          <w:noProof/>
          <w:sz w:val="24"/>
          <w:szCs w:val="24"/>
          <w:lang w:val="en-US"/>
        </w:rPr>
        <w:drawing>
          <wp:inline distT="114300" distB="114300" distL="114300" distR="114300">
            <wp:extent cx="4910748" cy="2728913"/>
            <wp:effectExtent l="0" t="0" r="444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4910748" cy="2728913"/>
                    </a:xfrm>
                    <a:prstGeom prst="rect">
                      <a:avLst/>
                    </a:prstGeom>
                    <a:ln/>
                  </pic:spPr>
                </pic:pic>
              </a:graphicData>
            </a:graphic>
          </wp:inline>
        </w:drawing>
      </w:r>
    </w:p>
    <w:p w:rsidR="00951A69" w:rsidRPr="00AB6393" w:rsidRDefault="00951A69">
      <w:pPr>
        <w:ind w:left="720"/>
        <w:rPr>
          <w:lang w:val="bg-BG"/>
        </w:rPr>
      </w:pPr>
    </w:p>
    <w:p w:rsidR="00951A69" w:rsidRPr="00AB6393" w:rsidRDefault="00E17260" w:rsidP="00951A69">
      <w:pPr>
        <w:autoSpaceDE w:val="0"/>
        <w:autoSpaceDN w:val="0"/>
        <w:adjustRightInd w:val="0"/>
        <w:spacing w:line="240" w:lineRule="auto"/>
        <w:rPr>
          <w:lang w:val="bg-BG"/>
        </w:rPr>
      </w:pPr>
      <w:r w:rsidRPr="00AB6393">
        <w:rPr>
          <w:lang w:val="bg-BG"/>
        </w:rPr>
        <w:t xml:space="preserve">Централата цели с </w:t>
      </w:r>
      <w:r w:rsidR="0001684E" w:rsidRPr="00AB6393">
        <w:rPr>
          <w:lang w:val="bg-BG"/>
        </w:rPr>
        <w:t>допълненото заявление за комплексно разрешително</w:t>
      </w:r>
      <w:r w:rsidRPr="00AB6393">
        <w:rPr>
          <w:lang w:val="bg-BG"/>
        </w:rPr>
        <w:t xml:space="preserve"> да замени част от въглищата с </w:t>
      </w:r>
      <w:r w:rsidR="00951A69" w:rsidRPr="00AB6393">
        <w:rPr>
          <w:lang w:val="bg-BG"/>
        </w:rPr>
        <w:t xml:space="preserve">част от използваното гориво (въглища) с биомаса и </w:t>
      </w:r>
      <w:proofErr w:type="spellStart"/>
      <w:r w:rsidR="00951A69" w:rsidRPr="00AB6393">
        <w:rPr>
          <w:lang w:val="bg-BG"/>
        </w:rPr>
        <w:t>нефтошисти</w:t>
      </w:r>
      <w:proofErr w:type="spellEnd"/>
      <w:r w:rsidR="00951A69" w:rsidRPr="00AB6393">
        <w:rPr>
          <w:lang w:val="bg-BG"/>
        </w:rPr>
        <w:t xml:space="preserve"> в следното съотношение:</w:t>
      </w:r>
    </w:p>
    <w:p w:rsidR="00951A69" w:rsidRPr="00AB6393" w:rsidRDefault="00951A69" w:rsidP="00951A69">
      <w:pPr>
        <w:autoSpaceDE w:val="0"/>
        <w:autoSpaceDN w:val="0"/>
        <w:adjustRightInd w:val="0"/>
        <w:spacing w:line="240" w:lineRule="auto"/>
        <w:rPr>
          <w:lang w:val="bg-BG"/>
        </w:rPr>
      </w:pPr>
    </w:p>
    <w:p w:rsidR="00951A69" w:rsidRPr="00AB6393" w:rsidRDefault="00951A69" w:rsidP="00951A69">
      <w:pPr>
        <w:autoSpaceDE w:val="0"/>
        <w:autoSpaceDN w:val="0"/>
        <w:adjustRightInd w:val="0"/>
        <w:spacing w:line="240" w:lineRule="auto"/>
        <w:rPr>
          <w:lang w:val="bg-BG"/>
        </w:rPr>
      </w:pPr>
      <w:r w:rsidRPr="00AB6393">
        <w:rPr>
          <w:lang w:val="bg-BG"/>
        </w:rPr>
        <w:t>- биомаса до 979 тона на денонощие и до 357 335 тона годишно;</w:t>
      </w:r>
    </w:p>
    <w:p w:rsidR="00951A69" w:rsidRPr="00AB6393" w:rsidRDefault="00951A69" w:rsidP="00951A69">
      <w:pPr>
        <w:rPr>
          <w:lang w:val="bg-BG"/>
        </w:rPr>
      </w:pPr>
      <w:r w:rsidRPr="00AB6393">
        <w:rPr>
          <w:lang w:val="bg-BG"/>
        </w:rPr>
        <w:t xml:space="preserve">- </w:t>
      </w:r>
      <w:proofErr w:type="spellStart"/>
      <w:r w:rsidRPr="00AB6393">
        <w:rPr>
          <w:lang w:val="bg-BG"/>
        </w:rPr>
        <w:t>нефтошисти</w:t>
      </w:r>
      <w:proofErr w:type="spellEnd"/>
      <w:r w:rsidRPr="00AB6393">
        <w:rPr>
          <w:lang w:val="bg-BG"/>
        </w:rPr>
        <w:t xml:space="preserve"> до 490 тона на денонощие и до 178 850 тона годишно.</w:t>
      </w:r>
      <w:r w:rsidR="00E17260" w:rsidRPr="00AB6393">
        <w:rPr>
          <w:lang w:val="bg-BG"/>
        </w:rPr>
        <w:t xml:space="preserve"> </w:t>
      </w:r>
    </w:p>
    <w:p w:rsidR="00AD3F3D" w:rsidRPr="00AB6393" w:rsidRDefault="00AD3F3D">
      <w:pPr>
        <w:spacing w:after="160"/>
        <w:rPr>
          <w:b/>
          <w:sz w:val="24"/>
          <w:szCs w:val="24"/>
          <w:lang w:val="bg-BG"/>
        </w:rPr>
      </w:pPr>
    </w:p>
    <w:p w:rsidR="00951A69" w:rsidRPr="00AB6393" w:rsidRDefault="00951A69">
      <w:pPr>
        <w:spacing w:after="160"/>
        <w:rPr>
          <w:b/>
          <w:sz w:val="24"/>
          <w:szCs w:val="24"/>
          <w:lang w:val="bg-BG"/>
        </w:rPr>
      </w:pPr>
    </w:p>
    <w:p w:rsidR="00951A69" w:rsidRPr="00AB6393" w:rsidRDefault="00951A69">
      <w:pPr>
        <w:spacing w:after="160"/>
        <w:rPr>
          <w:b/>
          <w:sz w:val="24"/>
          <w:szCs w:val="24"/>
          <w:lang w:val="bg-BG"/>
        </w:rPr>
      </w:pPr>
    </w:p>
    <w:p w:rsidR="00951A69" w:rsidRPr="00AB6393" w:rsidRDefault="00951A69">
      <w:pPr>
        <w:spacing w:after="160"/>
        <w:rPr>
          <w:b/>
          <w:sz w:val="24"/>
          <w:szCs w:val="24"/>
          <w:lang w:val="bg-BG"/>
        </w:rPr>
      </w:pPr>
    </w:p>
    <w:p w:rsidR="00951A69" w:rsidRPr="00AB6393" w:rsidRDefault="00951A69">
      <w:pPr>
        <w:spacing w:after="160"/>
        <w:rPr>
          <w:b/>
          <w:sz w:val="24"/>
          <w:szCs w:val="24"/>
          <w:lang w:val="bg-BG"/>
        </w:rPr>
      </w:pPr>
    </w:p>
    <w:p w:rsidR="00951A69" w:rsidRPr="00AB6393" w:rsidRDefault="00951A69">
      <w:pPr>
        <w:spacing w:after="160"/>
        <w:rPr>
          <w:b/>
          <w:sz w:val="24"/>
          <w:szCs w:val="24"/>
          <w:lang w:val="bg-BG"/>
        </w:rPr>
      </w:pPr>
    </w:p>
    <w:p w:rsidR="00AD3F3D" w:rsidRPr="00AB6393" w:rsidRDefault="00AD3F3D">
      <w:pPr>
        <w:spacing w:after="160"/>
        <w:rPr>
          <w:b/>
          <w:sz w:val="24"/>
          <w:szCs w:val="24"/>
          <w:lang w:val="bg-BG"/>
        </w:rPr>
      </w:pPr>
    </w:p>
    <w:p w:rsidR="00AD3F3D" w:rsidRPr="00AB6393" w:rsidRDefault="00E17260">
      <w:pPr>
        <w:numPr>
          <w:ilvl w:val="0"/>
          <w:numId w:val="2"/>
        </w:numPr>
        <w:spacing w:after="160"/>
        <w:rPr>
          <w:b/>
          <w:sz w:val="24"/>
          <w:szCs w:val="24"/>
          <w:lang w:val="bg-BG"/>
        </w:rPr>
      </w:pPr>
      <w:r w:rsidRPr="00AB6393">
        <w:rPr>
          <w:b/>
          <w:sz w:val="24"/>
          <w:szCs w:val="24"/>
          <w:lang w:val="bg-BG"/>
        </w:rPr>
        <w:lastRenderedPageBreak/>
        <w:t>Започнете с правилно адресиране:</w:t>
      </w:r>
    </w:p>
    <w:p w:rsidR="00AD3F3D" w:rsidRPr="00AB6393" w:rsidRDefault="00E17260">
      <w:pPr>
        <w:spacing w:after="160"/>
        <w:ind w:left="3600"/>
        <w:rPr>
          <w:i/>
          <w:szCs w:val="20"/>
          <w:lang w:val="bg-BG"/>
        </w:rPr>
      </w:pPr>
      <w:r w:rsidRPr="00AB6393">
        <w:rPr>
          <w:i/>
          <w:szCs w:val="20"/>
          <w:lang w:val="bg-BG"/>
        </w:rPr>
        <w:t>До: Изпълнителна агенция по околна среда</w:t>
      </w:r>
      <w:r w:rsidRPr="00AB6393">
        <w:rPr>
          <w:i/>
          <w:szCs w:val="20"/>
          <w:lang w:val="bg-BG"/>
        </w:rPr>
        <w:br/>
        <w:t xml:space="preserve">Адрес: гр. София 1618, бул. „Цар Борис III“ № 136, </w:t>
      </w:r>
      <w:proofErr w:type="spellStart"/>
      <w:r w:rsidRPr="00AB6393">
        <w:rPr>
          <w:i/>
          <w:szCs w:val="20"/>
          <w:lang w:val="bg-BG"/>
        </w:rPr>
        <w:t>п.к</w:t>
      </w:r>
      <w:proofErr w:type="spellEnd"/>
      <w:r w:rsidRPr="00AB6393">
        <w:rPr>
          <w:i/>
          <w:szCs w:val="20"/>
          <w:lang w:val="bg-BG"/>
        </w:rPr>
        <w:t>. 251</w:t>
      </w:r>
      <w:r w:rsidRPr="00AB6393">
        <w:rPr>
          <w:i/>
          <w:szCs w:val="20"/>
          <w:lang w:val="bg-BG"/>
        </w:rPr>
        <w:br/>
        <w:t>Ел. поща: iaos@eea.government.bg</w:t>
      </w:r>
    </w:p>
    <w:p w:rsidR="00AD3F3D" w:rsidRPr="00AB6393" w:rsidRDefault="00E17260">
      <w:pPr>
        <w:spacing w:after="160"/>
        <w:ind w:left="3600"/>
        <w:rPr>
          <w:i/>
          <w:szCs w:val="20"/>
          <w:lang w:val="bg-BG"/>
        </w:rPr>
      </w:pPr>
      <w:r w:rsidRPr="00AB6393">
        <w:rPr>
          <w:i/>
          <w:szCs w:val="20"/>
          <w:lang w:val="bg-BG"/>
        </w:rPr>
        <w:t>С Т А Н О В И Щ Е</w:t>
      </w:r>
    </w:p>
    <w:p w:rsidR="00AD3F3D" w:rsidRPr="00AB6393" w:rsidRDefault="00E17260">
      <w:pPr>
        <w:spacing w:after="160"/>
        <w:ind w:left="3600"/>
        <w:rPr>
          <w:i/>
          <w:szCs w:val="20"/>
          <w:highlight w:val="white"/>
          <w:lang w:val="bg-BG"/>
        </w:rPr>
      </w:pPr>
      <w:r w:rsidRPr="00AB6393">
        <w:rPr>
          <w:i/>
          <w:szCs w:val="20"/>
          <w:highlight w:val="white"/>
          <w:lang w:val="bg-BG"/>
        </w:rPr>
        <w:t>От (</w:t>
      </w:r>
      <w:r w:rsidRPr="00AB6393">
        <w:rPr>
          <w:i/>
          <w:color w:val="0070C0"/>
          <w:szCs w:val="20"/>
          <w:highlight w:val="white"/>
          <w:lang w:val="bg-BG"/>
        </w:rPr>
        <w:t>трите Ви имена</w:t>
      </w:r>
      <w:r w:rsidRPr="00AB6393">
        <w:rPr>
          <w:i/>
          <w:szCs w:val="20"/>
          <w:highlight w:val="white"/>
          <w:lang w:val="bg-BG"/>
        </w:rPr>
        <w:t>): ……………………..,</w:t>
      </w:r>
    </w:p>
    <w:p w:rsidR="00AD3F3D" w:rsidRPr="00AB6393" w:rsidRDefault="00E17260">
      <w:pPr>
        <w:spacing w:after="160"/>
        <w:ind w:left="3600"/>
        <w:rPr>
          <w:i/>
          <w:szCs w:val="20"/>
          <w:highlight w:val="white"/>
          <w:lang w:val="bg-BG"/>
        </w:rPr>
      </w:pPr>
      <w:r w:rsidRPr="00AB6393">
        <w:rPr>
          <w:i/>
          <w:szCs w:val="20"/>
          <w:highlight w:val="white"/>
          <w:lang w:val="bg-BG"/>
        </w:rPr>
        <w:t>с адрес: (</w:t>
      </w:r>
      <w:r w:rsidRPr="00AB6393">
        <w:rPr>
          <w:i/>
          <w:color w:val="0070C0"/>
          <w:szCs w:val="20"/>
          <w:highlight w:val="white"/>
          <w:lang w:val="bg-BG"/>
        </w:rPr>
        <w:t>адрес, на който искате да получите отговор</w:t>
      </w:r>
      <w:r w:rsidRPr="00AB6393">
        <w:rPr>
          <w:i/>
          <w:szCs w:val="20"/>
          <w:highlight w:val="white"/>
          <w:lang w:val="bg-BG"/>
        </w:rPr>
        <w:t>) ………………………...</w:t>
      </w:r>
    </w:p>
    <w:p w:rsidR="00951A69" w:rsidRPr="00AB6393" w:rsidRDefault="00E17260" w:rsidP="00951A69">
      <w:pPr>
        <w:autoSpaceDE w:val="0"/>
        <w:autoSpaceDN w:val="0"/>
        <w:adjustRightInd w:val="0"/>
        <w:spacing w:line="240" w:lineRule="auto"/>
        <w:jc w:val="right"/>
        <w:rPr>
          <w:i/>
          <w:szCs w:val="20"/>
          <w:lang w:val="bg-BG"/>
        </w:rPr>
      </w:pPr>
      <w:r w:rsidRPr="00AB6393">
        <w:rPr>
          <w:i/>
          <w:szCs w:val="20"/>
          <w:lang w:val="bg-BG"/>
        </w:rPr>
        <w:t xml:space="preserve">Относно: </w:t>
      </w:r>
      <w:r w:rsidR="00951A69" w:rsidRPr="00AB6393">
        <w:rPr>
          <w:i/>
          <w:szCs w:val="20"/>
          <w:lang w:val="bg-BG"/>
        </w:rPr>
        <w:t>Заявление за издаване на ново комплексно на</w:t>
      </w:r>
    </w:p>
    <w:p w:rsidR="00951A69" w:rsidRPr="00AB6393" w:rsidRDefault="00951A69" w:rsidP="00951A69">
      <w:pPr>
        <w:autoSpaceDE w:val="0"/>
        <w:autoSpaceDN w:val="0"/>
        <w:adjustRightInd w:val="0"/>
        <w:spacing w:line="240" w:lineRule="auto"/>
        <w:jc w:val="right"/>
        <w:rPr>
          <w:i/>
          <w:szCs w:val="20"/>
          <w:lang w:val="bg-BG"/>
        </w:rPr>
      </w:pPr>
      <w:r w:rsidRPr="00AB6393">
        <w:rPr>
          <w:i/>
          <w:szCs w:val="20"/>
          <w:lang w:val="bg-BG"/>
        </w:rPr>
        <w:t>„БРИКЕЛ“ ЕАД за експлоатация на горивна</w:t>
      </w:r>
    </w:p>
    <w:p w:rsidR="00951A69" w:rsidRPr="00AB6393" w:rsidRDefault="00951A69" w:rsidP="00951A69">
      <w:pPr>
        <w:autoSpaceDE w:val="0"/>
        <w:autoSpaceDN w:val="0"/>
        <w:adjustRightInd w:val="0"/>
        <w:spacing w:line="240" w:lineRule="auto"/>
        <w:jc w:val="right"/>
        <w:rPr>
          <w:i/>
          <w:szCs w:val="20"/>
          <w:lang w:val="bg-BG"/>
        </w:rPr>
      </w:pPr>
      <w:r w:rsidRPr="00AB6393">
        <w:rPr>
          <w:i/>
          <w:szCs w:val="20"/>
          <w:lang w:val="bg-BG"/>
        </w:rPr>
        <w:t>инсталация за производство на топлинна енергия с</w:t>
      </w:r>
    </w:p>
    <w:p w:rsidR="00951A69" w:rsidRPr="00AB6393" w:rsidRDefault="00951A69" w:rsidP="00951A69">
      <w:pPr>
        <w:autoSpaceDE w:val="0"/>
        <w:autoSpaceDN w:val="0"/>
        <w:adjustRightInd w:val="0"/>
        <w:spacing w:line="240" w:lineRule="auto"/>
        <w:jc w:val="right"/>
        <w:rPr>
          <w:i/>
          <w:szCs w:val="20"/>
          <w:lang w:val="bg-BG"/>
        </w:rPr>
      </w:pPr>
      <w:r w:rsidRPr="00AB6393">
        <w:rPr>
          <w:i/>
          <w:szCs w:val="20"/>
          <w:lang w:val="bg-BG"/>
        </w:rPr>
        <w:t xml:space="preserve">номинална топлинна мощност 510 </w:t>
      </w:r>
      <w:proofErr w:type="spellStart"/>
      <w:r w:rsidRPr="00AB6393">
        <w:rPr>
          <w:i/>
          <w:szCs w:val="20"/>
          <w:lang w:val="bg-BG"/>
        </w:rPr>
        <w:t>MWth</w:t>
      </w:r>
      <w:proofErr w:type="spellEnd"/>
      <w:r w:rsidRPr="00AB6393">
        <w:rPr>
          <w:i/>
          <w:szCs w:val="20"/>
          <w:lang w:val="bg-BG"/>
        </w:rPr>
        <w:t>, обявено за</w:t>
      </w:r>
    </w:p>
    <w:p w:rsidR="00AD3F3D" w:rsidRPr="00AB6393" w:rsidRDefault="00951A69" w:rsidP="00951A69">
      <w:pPr>
        <w:autoSpaceDE w:val="0"/>
        <w:autoSpaceDN w:val="0"/>
        <w:adjustRightInd w:val="0"/>
        <w:spacing w:line="240" w:lineRule="auto"/>
        <w:jc w:val="right"/>
        <w:rPr>
          <w:i/>
          <w:sz w:val="20"/>
          <w:szCs w:val="20"/>
          <w:lang w:val="bg-BG"/>
        </w:rPr>
      </w:pPr>
      <w:r w:rsidRPr="00AB6393">
        <w:rPr>
          <w:i/>
          <w:szCs w:val="20"/>
          <w:lang w:val="bg-BG"/>
        </w:rPr>
        <w:t>обществена</w:t>
      </w:r>
      <w:r w:rsidR="00202BBE">
        <w:rPr>
          <w:i/>
          <w:szCs w:val="20"/>
          <w:lang w:val="bg-BG"/>
        </w:rPr>
        <w:t xml:space="preserve"> консултация</w:t>
      </w:r>
      <w:r w:rsidR="00E17260" w:rsidRPr="00AB6393">
        <w:rPr>
          <w:i/>
          <w:sz w:val="20"/>
          <w:szCs w:val="20"/>
          <w:lang w:val="bg-BG"/>
        </w:rPr>
        <w:tab/>
      </w:r>
    </w:p>
    <w:p w:rsidR="00951A69" w:rsidRPr="00AB6393" w:rsidRDefault="00951A69">
      <w:pPr>
        <w:spacing w:after="160"/>
        <w:ind w:firstLine="720"/>
        <w:rPr>
          <w:i/>
          <w:sz w:val="20"/>
          <w:szCs w:val="20"/>
          <w:lang w:val="bg-BG"/>
        </w:rPr>
      </w:pPr>
    </w:p>
    <w:p w:rsidR="00517B6C" w:rsidRPr="00AB6393" w:rsidRDefault="00517B6C" w:rsidP="00517B6C">
      <w:pPr>
        <w:pStyle w:val="a5"/>
        <w:numPr>
          <w:ilvl w:val="0"/>
          <w:numId w:val="2"/>
        </w:numPr>
        <w:rPr>
          <w:b/>
          <w:sz w:val="24"/>
          <w:szCs w:val="24"/>
          <w:lang w:val="bg-BG"/>
        </w:rPr>
      </w:pPr>
      <w:r w:rsidRPr="00AB6393">
        <w:rPr>
          <w:b/>
          <w:sz w:val="24"/>
          <w:szCs w:val="24"/>
          <w:lang w:val="bg-BG"/>
        </w:rPr>
        <w:t xml:space="preserve">В изложението опишете основните моменти, с които не сте съгласни. </w:t>
      </w:r>
      <w:r w:rsidRPr="00AB6393">
        <w:rPr>
          <w:sz w:val="24"/>
          <w:szCs w:val="24"/>
          <w:lang w:val="bg-BG"/>
        </w:rPr>
        <w:t>(</w:t>
      </w:r>
      <w:r w:rsidRPr="00AB6393">
        <w:rPr>
          <w:lang w:val="bg-BG"/>
        </w:rPr>
        <w:t>Даваме пример с конкретния случай)</w:t>
      </w:r>
    </w:p>
    <w:p w:rsidR="00517B6C" w:rsidRPr="00AB6393" w:rsidRDefault="00517B6C">
      <w:pPr>
        <w:spacing w:after="160"/>
        <w:ind w:firstLine="720"/>
        <w:rPr>
          <w:i/>
          <w:sz w:val="20"/>
          <w:szCs w:val="20"/>
          <w:lang w:val="bg-BG"/>
        </w:rPr>
      </w:pPr>
    </w:p>
    <w:p w:rsidR="00AB6393" w:rsidRPr="00AB6393" w:rsidRDefault="00517B6C" w:rsidP="00AB6393">
      <w:pPr>
        <w:autoSpaceDE w:val="0"/>
        <w:autoSpaceDN w:val="0"/>
        <w:adjustRightInd w:val="0"/>
        <w:spacing w:line="240" w:lineRule="auto"/>
        <w:ind w:firstLine="720"/>
        <w:rPr>
          <w:i/>
          <w:lang w:val="bg-BG"/>
        </w:rPr>
      </w:pPr>
      <w:r w:rsidRPr="00AB6393">
        <w:rPr>
          <w:i/>
          <w:lang w:val="bg-BG"/>
        </w:rPr>
        <w:t xml:space="preserve">Уважаеми господин директор, </w:t>
      </w:r>
    </w:p>
    <w:p w:rsidR="00AB6393" w:rsidRDefault="00AB6393" w:rsidP="00AB6393">
      <w:pPr>
        <w:autoSpaceDE w:val="0"/>
        <w:autoSpaceDN w:val="0"/>
        <w:adjustRightInd w:val="0"/>
        <w:spacing w:line="240" w:lineRule="auto"/>
        <w:ind w:firstLine="720"/>
        <w:rPr>
          <w:i/>
          <w:lang w:val="bg-BG"/>
        </w:rPr>
      </w:pPr>
    </w:p>
    <w:p w:rsidR="00517B6C" w:rsidRPr="00AB6393" w:rsidRDefault="00AB6393" w:rsidP="00AB6393">
      <w:pPr>
        <w:autoSpaceDE w:val="0"/>
        <w:autoSpaceDN w:val="0"/>
        <w:adjustRightInd w:val="0"/>
        <w:spacing w:line="240" w:lineRule="auto"/>
        <w:ind w:firstLine="720"/>
        <w:rPr>
          <w:i/>
          <w:lang w:val="bg-BG"/>
        </w:rPr>
      </w:pPr>
      <w:r w:rsidRPr="00AB6393">
        <w:rPr>
          <w:i/>
          <w:lang w:val="bg-BG"/>
        </w:rPr>
        <w:t>С</w:t>
      </w:r>
      <w:r w:rsidR="00517B6C" w:rsidRPr="00AB6393">
        <w:rPr>
          <w:i/>
          <w:lang w:val="bg-BG"/>
        </w:rPr>
        <w:t xml:space="preserve">читам, че заявлението на оператора не следва да бъде одобрено в предложения вид, тъй като предвижда инсталацията да не спазва Заключенията за най-добри налични техники за големи горивни инсталации от 2017 г., не се гарантира спазване на нормите за качество на атмосферния въздух по показател серен диоксид и не се предвижда подобряване на техническата база на инсталацията, така че да не се допускат аварии и изпускане на неорганизирани емисии. </w:t>
      </w:r>
      <w:r>
        <w:rPr>
          <w:i/>
          <w:lang w:val="bg-BG"/>
        </w:rPr>
        <w:t>Това</w:t>
      </w:r>
      <w:r w:rsidR="00517B6C" w:rsidRPr="00AB6393">
        <w:rPr>
          <w:i/>
          <w:lang w:val="bg-BG"/>
        </w:rPr>
        <w:t xml:space="preserve"> твърдение е подкрепено от следните аргументи:</w:t>
      </w:r>
    </w:p>
    <w:p w:rsidR="00AD3F3D" w:rsidRPr="00AB6393" w:rsidRDefault="00AD3F3D">
      <w:pPr>
        <w:rPr>
          <w:i/>
          <w:lang w:val="bg-BG"/>
        </w:rPr>
      </w:pPr>
    </w:p>
    <w:p w:rsidR="00951A69" w:rsidRPr="00AB6393" w:rsidRDefault="00951A69" w:rsidP="00951A69">
      <w:pPr>
        <w:autoSpaceDE w:val="0"/>
        <w:autoSpaceDN w:val="0"/>
        <w:adjustRightInd w:val="0"/>
        <w:spacing w:line="240" w:lineRule="auto"/>
        <w:rPr>
          <w:b/>
          <w:bCs/>
          <w:i/>
          <w:lang w:val="bg-BG"/>
        </w:rPr>
      </w:pPr>
      <w:r w:rsidRPr="00AB6393">
        <w:rPr>
          <w:b/>
          <w:bCs/>
          <w:i/>
          <w:lang w:val="bg-BG"/>
        </w:rPr>
        <w:t>1. Липса на технически нововъведения и употреба на горива с по-лоши</w:t>
      </w:r>
    </w:p>
    <w:p w:rsidR="00951A69" w:rsidRDefault="00951A69" w:rsidP="00951A69">
      <w:pPr>
        <w:autoSpaceDE w:val="0"/>
        <w:autoSpaceDN w:val="0"/>
        <w:adjustRightInd w:val="0"/>
        <w:spacing w:line="240" w:lineRule="auto"/>
        <w:rPr>
          <w:b/>
          <w:bCs/>
          <w:i/>
          <w:lang w:val="bg-BG"/>
        </w:rPr>
      </w:pPr>
      <w:r w:rsidRPr="00AB6393">
        <w:rPr>
          <w:b/>
          <w:bCs/>
          <w:i/>
          <w:lang w:val="bg-BG"/>
        </w:rPr>
        <w:t>показатели</w:t>
      </w:r>
    </w:p>
    <w:p w:rsidR="00AB6393" w:rsidRPr="00AB6393" w:rsidRDefault="00AB6393" w:rsidP="00951A69">
      <w:pPr>
        <w:autoSpaceDE w:val="0"/>
        <w:autoSpaceDN w:val="0"/>
        <w:adjustRightInd w:val="0"/>
        <w:spacing w:line="240" w:lineRule="auto"/>
        <w:rPr>
          <w:b/>
          <w:bCs/>
          <w:i/>
          <w:lang w:val="bg-BG"/>
        </w:rPr>
      </w:pPr>
    </w:p>
    <w:p w:rsidR="00951A69" w:rsidRPr="00AB6393" w:rsidRDefault="00951A69" w:rsidP="00AB6393">
      <w:pPr>
        <w:autoSpaceDE w:val="0"/>
        <w:autoSpaceDN w:val="0"/>
        <w:adjustRightInd w:val="0"/>
        <w:spacing w:line="240" w:lineRule="auto"/>
        <w:ind w:firstLine="720"/>
        <w:rPr>
          <w:i/>
          <w:lang w:val="bg-BG"/>
        </w:rPr>
      </w:pPr>
      <w:r w:rsidRPr="00AB6393">
        <w:rPr>
          <w:i/>
          <w:lang w:val="bg-BG"/>
        </w:rPr>
        <w:t>Законодателството за контрол и превенция на промишленото замърсяване предполага приспособяване на индустрията към най-добрите налични техники, т.е. постоянно подобряване на инсталациите, така че да са в крак със съвременното развитие на технологиите.</w:t>
      </w:r>
    </w:p>
    <w:p w:rsidR="00AB6393" w:rsidRDefault="00AB6393" w:rsidP="00AB6393">
      <w:pPr>
        <w:autoSpaceDE w:val="0"/>
        <w:autoSpaceDN w:val="0"/>
        <w:adjustRightInd w:val="0"/>
        <w:spacing w:line="240" w:lineRule="auto"/>
        <w:ind w:firstLine="720"/>
        <w:rPr>
          <w:i/>
          <w:lang w:val="bg-BG"/>
        </w:rPr>
      </w:pPr>
    </w:p>
    <w:p w:rsidR="00951A69" w:rsidRPr="00AB6393" w:rsidRDefault="00951A69" w:rsidP="00AB6393">
      <w:pPr>
        <w:autoSpaceDE w:val="0"/>
        <w:autoSpaceDN w:val="0"/>
        <w:adjustRightInd w:val="0"/>
        <w:spacing w:line="240" w:lineRule="auto"/>
        <w:ind w:firstLine="720"/>
        <w:rPr>
          <w:i/>
          <w:lang w:val="bg-BG"/>
        </w:rPr>
      </w:pPr>
      <w:r w:rsidRPr="00AB6393">
        <w:rPr>
          <w:i/>
          <w:lang w:val="bg-BG"/>
        </w:rPr>
        <w:t>При централата на „Брикел“ наблюдаваме обратното. Изграждането на втора</w:t>
      </w:r>
    </w:p>
    <w:p w:rsidR="00951A69" w:rsidRPr="00AB6393" w:rsidRDefault="00951A69" w:rsidP="00951A69">
      <w:pPr>
        <w:autoSpaceDE w:val="0"/>
        <w:autoSpaceDN w:val="0"/>
        <w:adjustRightInd w:val="0"/>
        <w:spacing w:line="240" w:lineRule="auto"/>
        <w:rPr>
          <w:i/>
          <w:lang w:val="bg-BG"/>
        </w:rPr>
      </w:pPr>
      <w:proofErr w:type="spellStart"/>
      <w:r w:rsidRPr="00AB6393">
        <w:rPr>
          <w:i/>
          <w:lang w:val="bg-BG"/>
        </w:rPr>
        <w:t>сероочистка</w:t>
      </w:r>
      <w:proofErr w:type="spellEnd"/>
      <w:r w:rsidRPr="00AB6393">
        <w:rPr>
          <w:i/>
          <w:lang w:val="bg-BG"/>
        </w:rPr>
        <w:t xml:space="preserve"> се отлага най-рано до 2025 г. Не се предвиждат други технически подобрения на екологичното представяне на инсталацията. Централата придвижва да замени част от въглищата с </w:t>
      </w:r>
      <w:proofErr w:type="spellStart"/>
      <w:r w:rsidRPr="00AB6393">
        <w:rPr>
          <w:i/>
          <w:lang w:val="bg-BG"/>
        </w:rPr>
        <w:t>нефтошисти</w:t>
      </w:r>
      <w:proofErr w:type="spellEnd"/>
      <w:r w:rsidRPr="00AB6393">
        <w:rPr>
          <w:i/>
          <w:lang w:val="bg-BG"/>
        </w:rPr>
        <w:t xml:space="preserve">, чието пепелно съдържание е повече от два пъти по-високо - 70-78%, сравнено с 30-39% </w:t>
      </w:r>
      <w:proofErr w:type="spellStart"/>
      <w:r w:rsidRPr="00AB6393">
        <w:rPr>
          <w:i/>
          <w:lang w:val="bg-BG"/>
        </w:rPr>
        <w:t>пепелност</w:t>
      </w:r>
      <w:proofErr w:type="spellEnd"/>
      <w:r w:rsidRPr="00AB6393">
        <w:rPr>
          <w:i/>
          <w:lang w:val="bg-BG"/>
        </w:rPr>
        <w:t xml:space="preserve"> на въглища</w:t>
      </w:r>
      <w:r w:rsidR="00AB6393">
        <w:rPr>
          <w:i/>
          <w:lang w:val="bg-BG"/>
        </w:rPr>
        <w:t>та</w:t>
      </w:r>
      <w:r w:rsidRPr="00AB6393">
        <w:rPr>
          <w:i/>
          <w:lang w:val="bg-BG"/>
        </w:rPr>
        <w:t>. Това означава, че ще се съхраняват</w:t>
      </w:r>
      <w:r w:rsidR="00AB6393">
        <w:rPr>
          <w:i/>
          <w:lang w:val="bg-BG"/>
        </w:rPr>
        <w:t xml:space="preserve"> </w:t>
      </w:r>
      <w:r w:rsidRPr="00AB6393">
        <w:rPr>
          <w:i/>
          <w:lang w:val="bg-BG"/>
        </w:rPr>
        <w:t xml:space="preserve">много по-големи количества отпаден продукт в депото на централата, което се намира в непосредствена близост до населени места и </w:t>
      </w:r>
      <w:r w:rsidRPr="00AB6393">
        <w:rPr>
          <w:i/>
          <w:lang w:val="bg-BG"/>
        </w:rPr>
        <w:lastRenderedPageBreak/>
        <w:t>нееднократно е било източник на значително замърсяване на въздуха заради лоша поддръжка и рекултивация.</w:t>
      </w:r>
    </w:p>
    <w:p w:rsidR="00951A69" w:rsidRPr="00AB6393" w:rsidRDefault="00951A69" w:rsidP="00951A69">
      <w:pPr>
        <w:autoSpaceDE w:val="0"/>
        <w:autoSpaceDN w:val="0"/>
        <w:adjustRightInd w:val="0"/>
        <w:spacing w:line="240" w:lineRule="auto"/>
        <w:rPr>
          <w:i/>
          <w:lang w:val="bg-BG"/>
        </w:rPr>
      </w:pPr>
    </w:p>
    <w:p w:rsidR="00951A69" w:rsidRPr="00AB6393" w:rsidRDefault="00951A69" w:rsidP="00951A69">
      <w:pPr>
        <w:autoSpaceDE w:val="0"/>
        <w:autoSpaceDN w:val="0"/>
        <w:adjustRightInd w:val="0"/>
        <w:spacing w:line="240" w:lineRule="auto"/>
        <w:rPr>
          <w:b/>
          <w:bCs/>
          <w:i/>
          <w:lang w:val="bg-BG"/>
        </w:rPr>
      </w:pPr>
      <w:r w:rsidRPr="00AB6393">
        <w:rPr>
          <w:b/>
          <w:bCs/>
          <w:i/>
          <w:lang w:val="bg-BG"/>
        </w:rPr>
        <w:t>2. Липс</w:t>
      </w:r>
      <w:r w:rsidR="00AB6393">
        <w:rPr>
          <w:b/>
          <w:bCs/>
          <w:i/>
          <w:lang w:val="bg-BG"/>
        </w:rPr>
        <w:t>в</w:t>
      </w:r>
      <w:r w:rsidRPr="00AB6393">
        <w:rPr>
          <w:b/>
          <w:bCs/>
          <w:i/>
          <w:lang w:val="bg-BG"/>
        </w:rPr>
        <w:t>а категорична информация, че замяната на въглищата с биомаса ще</w:t>
      </w:r>
    </w:p>
    <w:p w:rsidR="00951A69" w:rsidRPr="00AB6393" w:rsidRDefault="00951A69" w:rsidP="00951A69">
      <w:pPr>
        <w:autoSpaceDE w:val="0"/>
        <w:autoSpaceDN w:val="0"/>
        <w:adjustRightInd w:val="0"/>
        <w:spacing w:line="240" w:lineRule="auto"/>
        <w:rPr>
          <w:b/>
          <w:bCs/>
          <w:i/>
          <w:lang w:val="bg-BG"/>
        </w:rPr>
      </w:pPr>
      <w:r w:rsidRPr="00AB6393">
        <w:rPr>
          <w:b/>
          <w:bCs/>
          <w:i/>
          <w:lang w:val="bg-BG"/>
        </w:rPr>
        <w:t>подобри екологичните показатели на централата</w:t>
      </w:r>
    </w:p>
    <w:p w:rsidR="00AB6393" w:rsidRDefault="00AB6393" w:rsidP="00AB6393">
      <w:pPr>
        <w:autoSpaceDE w:val="0"/>
        <w:autoSpaceDN w:val="0"/>
        <w:adjustRightInd w:val="0"/>
        <w:spacing w:line="240" w:lineRule="auto"/>
        <w:ind w:firstLine="720"/>
        <w:rPr>
          <w:i/>
          <w:lang w:val="bg-BG"/>
        </w:rPr>
      </w:pPr>
    </w:p>
    <w:p w:rsidR="00951A69" w:rsidRPr="00AB6393" w:rsidRDefault="00951A69" w:rsidP="00AB6393">
      <w:pPr>
        <w:autoSpaceDE w:val="0"/>
        <w:autoSpaceDN w:val="0"/>
        <w:adjustRightInd w:val="0"/>
        <w:spacing w:line="240" w:lineRule="auto"/>
        <w:ind w:firstLine="720"/>
        <w:rPr>
          <w:i/>
          <w:lang w:val="bg-BG"/>
        </w:rPr>
      </w:pPr>
      <w:r w:rsidRPr="00AB6393">
        <w:rPr>
          <w:i/>
          <w:lang w:val="bg-BG"/>
        </w:rPr>
        <w:t>„Брикел“ предлага да замени до 20% от горивото с биомаса без да уточни вида на</w:t>
      </w:r>
      <w:r w:rsidR="00AB6393">
        <w:rPr>
          <w:i/>
          <w:lang w:val="bg-BG"/>
        </w:rPr>
        <w:t xml:space="preserve"> </w:t>
      </w:r>
      <w:r w:rsidRPr="00AB6393">
        <w:rPr>
          <w:i/>
          <w:lang w:val="bg-BG"/>
        </w:rPr>
        <w:t>биомасата, която ще изгаря, и пропорцията на различните видове биомаса. Въпреки, че</w:t>
      </w:r>
      <w:r w:rsidR="007B7AA2" w:rsidRPr="00AB6393">
        <w:rPr>
          <w:i/>
          <w:lang w:val="bg-BG"/>
        </w:rPr>
        <w:t xml:space="preserve"> </w:t>
      </w:r>
      <w:r w:rsidRPr="00AB6393">
        <w:rPr>
          <w:i/>
          <w:lang w:val="bg-BG"/>
        </w:rPr>
        <w:t xml:space="preserve">изгарянето на биомаса се представя като екологична алтернатива на въглищата, липсата на адекватна информация за характеристиките на биомасата буди само притеснения. Биомасата е източник на същите замърсители във въздуха както и въглищата: прах, азотни и серни оксиди, летливи органични замърсители, </w:t>
      </w:r>
      <w:proofErr w:type="spellStart"/>
      <w:r w:rsidRPr="00AB6393">
        <w:rPr>
          <w:i/>
          <w:lang w:val="bg-BG"/>
        </w:rPr>
        <w:t>полициклични</w:t>
      </w:r>
      <w:proofErr w:type="spellEnd"/>
      <w:r w:rsidRPr="00AB6393">
        <w:rPr>
          <w:i/>
          <w:lang w:val="bg-BG"/>
        </w:rPr>
        <w:t xml:space="preserve"> ароматни </w:t>
      </w:r>
      <w:proofErr w:type="spellStart"/>
      <w:r w:rsidRPr="00AB6393">
        <w:rPr>
          <w:i/>
          <w:lang w:val="bg-BG"/>
        </w:rPr>
        <w:t>водороди</w:t>
      </w:r>
      <w:proofErr w:type="spellEnd"/>
      <w:r w:rsidRPr="00AB6393">
        <w:rPr>
          <w:i/>
          <w:lang w:val="bg-BG"/>
        </w:rPr>
        <w:t xml:space="preserve"> и други.</w:t>
      </w:r>
    </w:p>
    <w:p w:rsidR="00AB6393" w:rsidRDefault="00AB6393" w:rsidP="00AB6393">
      <w:pPr>
        <w:autoSpaceDE w:val="0"/>
        <w:autoSpaceDN w:val="0"/>
        <w:adjustRightInd w:val="0"/>
        <w:spacing w:line="240" w:lineRule="auto"/>
        <w:ind w:firstLine="720"/>
        <w:rPr>
          <w:i/>
          <w:lang w:val="bg-BG"/>
        </w:rPr>
      </w:pPr>
    </w:p>
    <w:p w:rsidR="00951A69" w:rsidRPr="00AB6393" w:rsidRDefault="00951A69" w:rsidP="00AB6393">
      <w:pPr>
        <w:autoSpaceDE w:val="0"/>
        <w:autoSpaceDN w:val="0"/>
        <w:adjustRightInd w:val="0"/>
        <w:spacing w:line="240" w:lineRule="auto"/>
        <w:ind w:firstLine="720"/>
        <w:rPr>
          <w:i/>
          <w:lang w:val="bg-BG"/>
        </w:rPr>
      </w:pPr>
      <w:r w:rsidRPr="00AB6393">
        <w:rPr>
          <w:i/>
          <w:lang w:val="bg-BG"/>
        </w:rPr>
        <w:t>Ако операторът счита, че биомасата е по-благоприятно гориво що се отнася до</w:t>
      </w:r>
      <w:r w:rsidR="00AB6393">
        <w:rPr>
          <w:i/>
          <w:lang w:val="bg-BG"/>
        </w:rPr>
        <w:t xml:space="preserve"> </w:t>
      </w:r>
      <w:r w:rsidRPr="00AB6393">
        <w:rPr>
          <w:i/>
          <w:lang w:val="bg-BG"/>
        </w:rPr>
        <w:t xml:space="preserve">намаляването на ефектите, които енергетиката причинява на климата, то това твърдение също е </w:t>
      </w:r>
      <w:proofErr w:type="spellStart"/>
      <w:r w:rsidRPr="00AB6393">
        <w:rPr>
          <w:i/>
          <w:lang w:val="bg-BG"/>
        </w:rPr>
        <w:t>неподкрепено</w:t>
      </w:r>
      <w:proofErr w:type="spellEnd"/>
      <w:r w:rsidRPr="00AB6393">
        <w:rPr>
          <w:i/>
          <w:lang w:val="bg-BG"/>
        </w:rPr>
        <w:t>. Изгарянето на биомаса причинява емисии на въглероден диоксид, които в зависимост от вида биомаса, могат да бъдат сравними с, а понякога и по-големи, от</w:t>
      </w:r>
      <w:r w:rsidR="00AB6393">
        <w:rPr>
          <w:i/>
          <w:lang w:val="bg-BG"/>
        </w:rPr>
        <w:t xml:space="preserve"> </w:t>
      </w:r>
      <w:r w:rsidRPr="00AB6393">
        <w:rPr>
          <w:i/>
          <w:lang w:val="bg-BG"/>
        </w:rPr>
        <w:t>емисиите от въглища.</w:t>
      </w:r>
    </w:p>
    <w:p w:rsidR="00951A69" w:rsidRPr="00AB6393" w:rsidRDefault="00951A69" w:rsidP="00951A69">
      <w:pPr>
        <w:autoSpaceDE w:val="0"/>
        <w:autoSpaceDN w:val="0"/>
        <w:adjustRightInd w:val="0"/>
        <w:spacing w:line="240" w:lineRule="auto"/>
        <w:rPr>
          <w:i/>
          <w:lang w:val="bg-BG"/>
        </w:rPr>
      </w:pPr>
    </w:p>
    <w:p w:rsidR="00951A69" w:rsidRPr="00AB6393" w:rsidRDefault="00951A69" w:rsidP="00951A69">
      <w:pPr>
        <w:autoSpaceDE w:val="0"/>
        <w:autoSpaceDN w:val="0"/>
        <w:adjustRightInd w:val="0"/>
        <w:spacing w:line="240" w:lineRule="auto"/>
        <w:rPr>
          <w:b/>
          <w:bCs/>
          <w:i/>
          <w:lang w:val="bg-BG"/>
        </w:rPr>
      </w:pPr>
      <w:r w:rsidRPr="00AB6393">
        <w:rPr>
          <w:b/>
          <w:bCs/>
          <w:i/>
          <w:lang w:val="bg-BG"/>
        </w:rPr>
        <w:t>3. Иска се инсталацията да не спазва екологичните стандарти за серен</w:t>
      </w:r>
    </w:p>
    <w:p w:rsidR="00951A69" w:rsidRPr="00AB6393" w:rsidRDefault="00951A69" w:rsidP="00951A69">
      <w:pPr>
        <w:autoSpaceDE w:val="0"/>
        <w:autoSpaceDN w:val="0"/>
        <w:adjustRightInd w:val="0"/>
        <w:spacing w:line="240" w:lineRule="auto"/>
        <w:rPr>
          <w:b/>
          <w:bCs/>
          <w:i/>
          <w:lang w:val="bg-BG"/>
        </w:rPr>
      </w:pPr>
      <w:r w:rsidRPr="00AB6393">
        <w:rPr>
          <w:b/>
          <w:bCs/>
          <w:i/>
          <w:lang w:val="bg-BG"/>
        </w:rPr>
        <w:t>диоксид</w:t>
      </w:r>
    </w:p>
    <w:p w:rsidR="00AB6393" w:rsidRDefault="00AB6393" w:rsidP="00951A69">
      <w:pPr>
        <w:autoSpaceDE w:val="0"/>
        <w:autoSpaceDN w:val="0"/>
        <w:adjustRightInd w:val="0"/>
        <w:spacing w:line="240" w:lineRule="auto"/>
        <w:rPr>
          <w:i/>
          <w:lang w:val="bg-BG"/>
        </w:rPr>
      </w:pPr>
    </w:p>
    <w:p w:rsidR="00AB6393" w:rsidRDefault="00951A69" w:rsidP="00AB6393">
      <w:pPr>
        <w:autoSpaceDE w:val="0"/>
        <w:autoSpaceDN w:val="0"/>
        <w:adjustRightInd w:val="0"/>
        <w:spacing w:line="240" w:lineRule="auto"/>
        <w:ind w:firstLine="720"/>
        <w:rPr>
          <w:i/>
          <w:lang w:val="bg-BG"/>
        </w:rPr>
      </w:pPr>
      <w:r w:rsidRPr="00AB6393">
        <w:rPr>
          <w:i/>
          <w:lang w:val="bg-BG"/>
        </w:rPr>
        <w:t>Операторът посочва в няколко абзаца, че инсталацията не може да се постигне</w:t>
      </w:r>
      <w:r w:rsidR="00AB6393">
        <w:rPr>
          <w:i/>
          <w:lang w:val="bg-BG"/>
        </w:rPr>
        <w:t xml:space="preserve"> </w:t>
      </w:r>
      <w:r w:rsidRPr="00AB6393">
        <w:rPr>
          <w:i/>
          <w:lang w:val="bg-BG"/>
        </w:rPr>
        <w:t xml:space="preserve">нормите за серен диоксид съгласно европейското и националното законодателство и иска разрешение да не ги спазва на основание чл. 123а, ал. 3 ЗООС. </w:t>
      </w:r>
    </w:p>
    <w:p w:rsidR="00AB6393" w:rsidRDefault="00AB6393" w:rsidP="00AB6393">
      <w:pPr>
        <w:autoSpaceDE w:val="0"/>
        <w:autoSpaceDN w:val="0"/>
        <w:adjustRightInd w:val="0"/>
        <w:spacing w:line="240" w:lineRule="auto"/>
        <w:ind w:firstLine="720"/>
        <w:rPr>
          <w:i/>
          <w:lang w:val="bg-BG"/>
        </w:rPr>
      </w:pPr>
    </w:p>
    <w:p w:rsidR="00951A69" w:rsidRDefault="00951A69" w:rsidP="00AB6393">
      <w:pPr>
        <w:autoSpaceDE w:val="0"/>
        <w:autoSpaceDN w:val="0"/>
        <w:adjustRightInd w:val="0"/>
        <w:spacing w:line="240" w:lineRule="auto"/>
        <w:ind w:firstLine="720"/>
        <w:rPr>
          <w:i/>
          <w:lang w:val="bg-BG"/>
        </w:rPr>
      </w:pPr>
      <w:r w:rsidRPr="00AB6393">
        <w:rPr>
          <w:i/>
          <w:lang w:val="bg-BG"/>
        </w:rPr>
        <w:t>Искането инсталацията да работи в нарушение на нормите за серен диоксид не следва да бъде уважено по следните причини:</w:t>
      </w:r>
    </w:p>
    <w:p w:rsidR="00AB6393" w:rsidRPr="00AB6393" w:rsidRDefault="00AB6393" w:rsidP="00AB6393">
      <w:pPr>
        <w:autoSpaceDE w:val="0"/>
        <w:autoSpaceDN w:val="0"/>
        <w:adjustRightInd w:val="0"/>
        <w:spacing w:line="240" w:lineRule="auto"/>
        <w:ind w:firstLine="720"/>
        <w:rPr>
          <w:i/>
          <w:lang w:val="bg-BG"/>
        </w:rPr>
      </w:pPr>
    </w:p>
    <w:p w:rsidR="00951A69" w:rsidRPr="00AB6393" w:rsidRDefault="00951A69" w:rsidP="00951A69">
      <w:pPr>
        <w:pStyle w:val="a5"/>
        <w:numPr>
          <w:ilvl w:val="0"/>
          <w:numId w:val="4"/>
        </w:numPr>
        <w:autoSpaceDE w:val="0"/>
        <w:autoSpaceDN w:val="0"/>
        <w:adjustRightInd w:val="0"/>
        <w:spacing w:line="240" w:lineRule="auto"/>
        <w:rPr>
          <w:i/>
          <w:lang w:val="bg-BG"/>
        </w:rPr>
      </w:pPr>
      <w:r w:rsidRPr="00AB6393">
        <w:rPr>
          <w:i/>
          <w:lang w:val="bg-BG"/>
        </w:rPr>
        <w:t>На територията на община Гълъбово е налице наднормено замърсяване на въздуха по показател серен диоксид. Законодателството предвижда, че инсталации не следва да работят при условия, които ще доведат до нарушаване на стандартите за околна среда (чл. 23, ал. 11 ЗООС) и това правило не може да бъде нарушено при предоставяне на изключение от нормите, установени в Заключенията за най-добри налични техники на големите горивни инсталации.</w:t>
      </w:r>
    </w:p>
    <w:p w:rsidR="00951A69" w:rsidRPr="00AB6393" w:rsidRDefault="00951A69" w:rsidP="00951A69">
      <w:pPr>
        <w:pStyle w:val="a5"/>
        <w:numPr>
          <w:ilvl w:val="0"/>
          <w:numId w:val="4"/>
        </w:numPr>
        <w:autoSpaceDE w:val="0"/>
        <w:autoSpaceDN w:val="0"/>
        <w:adjustRightInd w:val="0"/>
        <w:spacing w:line="240" w:lineRule="auto"/>
        <w:rPr>
          <w:i/>
          <w:lang w:val="bg-BG"/>
        </w:rPr>
      </w:pPr>
      <w:r w:rsidRPr="00AB6393">
        <w:rPr>
          <w:i/>
          <w:lang w:val="bg-BG"/>
        </w:rPr>
        <w:t xml:space="preserve">Операторът посочва единствено, че ще прилага степен на </w:t>
      </w:r>
      <w:proofErr w:type="spellStart"/>
      <w:r w:rsidRPr="00AB6393">
        <w:rPr>
          <w:i/>
          <w:lang w:val="bg-BG"/>
        </w:rPr>
        <w:t>десулфуризация</w:t>
      </w:r>
      <w:proofErr w:type="spellEnd"/>
      <w:r w:rsidRPr="00AB6393">
        <w:rPr>
          <w:i/>
          <w:lang w:val="bg-BG"/>
        </w:rPr>
        <w:t xml:space="preserve"> 97%.</w:t>
      </w:r>
    </w:p>
    <w:p w:rsidR="00951A69" w:rsidRPr="00AB6393" w:rsidRDefault="00951A69" w:rsidP="00951A69">
      <w:pPr>
        <w:pStyle w:val="a5"/>
        <w:numPr>
          <w:ilvl w:val="0"/>
          <w:numId w:val="4"/>
        </w:numPr>
        <w:autoSpaceDE w:val="0"/>
        <w:autoSpaceDN w:val="0"/>
        <w:adjustRightInd w:val="0"/>
        <w:spacing w:line="240" w:lineRule="auto"/>
        <w:rPr>
          <w:i/>
          <w:lang w:val="bg-BG"/>
        </w:rPr>
      </w:pPr>
      <w:r w:rsidRPr="00AB6393">
        <w:rPr>
          <w:i/>
          <w:lang w:val="bg-BG"/>
        </w:rPr>
        <w:t>Никъде не е посочено на каква пределно допустима концентрация на</w:t>
      </w:r>
      <w:r w:rsidR="00AB6393">
        <w:rPr>
          <w:i/>
          <w:lang w:val="bg-BG"/>
        </w:rPr>
        <w:t xml:space="preserve"> </w:t>
      </w:r>
      <w:r w:rsidRPr="00AB6393">
        <w:rPr>
          <w:i/>
          <w:lang w:val="bg-BG"/>
        </w:rPr>
        <w:t xml:space="preserve">замърсителите се равнява тази степен на </w:t>
      </w:r>
      <w:proofErr w:type="spellStart"/>
      <w:r w:rsidRPr="00AB6393">
        <w:rPr>
          <w:i/>
          <w:lang w:val="bg-BG"/>
        </w:rPr>
        <w:t>десулфуризация</w:t>
      </w:r>
      <w:proofErr w:type="spellEnd"/>
      <w:r w:rsidRPr="00AB6393">
        <w:rPr>
          <w:i/>
          <w:lang w:val="bg-BG"/>
        </w:rPr>
        <w:t>.</w:t>
      </w:r>
    </w:p>
    <w:p w:rsidR="00951A69" w:rsidRPr="00AB6393" w:rsidRDefault="00951A69" w:rsidP="00951A69">
      <w:pPr>
        <w:pStyle w:val="a5"/>
        <w:numPr>
          <w:ilvl w:val="0"/>
          <w:numId w:val="4"/>
        </w:numPr>
        <w:autoSpaceDE w:val="0"/>
        <w:autoSpaceDN w:val="0"/>
        <w:adjustRightInd w:val="0"/>
        <w:spacing w:line="240" w:lineRule="auto"/>
        <w:rPr>
          <w:i/>
          <w:lang w:val="bg-BG"/>
        </w:rPr>
      </w:pPr>
      <w:r w:rsidRPr="00AB6393">
        <w:rPr>
          <w:i/>
          <w:lang w:val="bg-BG"/>
        </w:rPr>
        <w:t xml:space="preserve">Изключение от Заключенията за най-добрите техники може да се предостави само при условие, че оценка покаже, че разходите за постигане на нормата от 160 </w:t>
      </w:r>
      <w:proofErr w:type="spellStart"/>
      <w:r w:rsidRPr="00AB6393">
        <w:rPr>
          <w:i/>
          <w:lang w:val="bg-BG"/>
        </w:rPr>
        <w:t>mg</w:t>
      </w:r>
      <w:proofErr w:type="spellEnd"/>
      <w:r w:rsidRPr="00AB6393">
        <w:rPr>
          <w:i/>
          <w:lang w:val="bg-BG"/>
        </w:rPr>
        <w:t>/Nm3 за серен диоксид ще надвишават значително ползите за човешкото здраве и околната среда.</w:t>
      </w:r>
    </w:p>
    <w:p w:rsidR="00951A69" w:rsidRPr="00AB6393" w:rsidRDefault="00951A69" w:rsidP="00951A69">
      <w:pPr>
        <w:pStyle w:val="a5"/>
        <w:autoSpaceDE w:val="0"/>
        <w:autoSpaceDN w:val="0"/>
        <w:adjustRightInd w:val="0"/>
        <w:spacing w:line="240" w:lineRule="auto"/>
        <w:rPr>
          <w:i/>
          <w:lang w:val="bg-BG"/>
        </w:rPr>
      </w:pPr>
    </w:p>
    <w:p w:rsidR="00951A69" w:rsidRPr="00AB6393" w:rsidRDefault="00951A69" w:rsidP="00AB6393">
      <w:pPr>
        <w:autoSpaceDE w:val="0"/>
        <w:autoSpaceDN w:val="0"/>
        <w:adjustRightInd w:val="0"/>
        <w:spacing w:line="240" w:lineRule="auto"/>
        <w:ind w:firstLine="720"/>
        <w:rPr>
          <w:i/>
          <w:lang w:val="bg-BG"/>
        </w:rPr>
      </w:pPr>
      <w:r w:rsidRPr="00AB6393">
        <w:rPr>
          <w:i/>
          <w:lang w:val="bg-BG"/>
        </w:rPr>
        <w:t xml:space="preserve">За целта операторът трябва да представи на обществеността достъп до тази оценка и възможност да се изразят коментари и становища (Приложение IV, т. 2 от Директива 2010/75/ЕС). В случая, това не е направено. Не е предоставена информация за следващите стъпки на тази процедура и дали на обществеността ще се предостави възможност да се запознае с оценката по чл. 123а, ал. 3 ЗООС и да </w:t>
      </w:r>
      <w:r w:rsidRPr="00AB6393">
        <w:rPr>
          <w:i/>
          <w:lang w:val="bg-BG"/>
        </w:rPr>
        <w:lastRenderedPageBreak/>
        <w:t>изрази становище. Това нарушава правата на обществеността на участие в процедурата.</w:t>
      </w:r>
    </w:p>
    <w:p w:rsidR="00951A69" w:rsidRPr="00AB6393" w:rsidRDefault="00951A69" w:rsidP="00951A69">
      <w:pPr>
        <w:autoSpaceDE w:val="0"/>
        <w:autoSpaceDN w:val="0"/>
        <w:adjustRightInd w:val="0"/>
        <w:spacing w:line="240" w:lineRule="auto"/>
        <w:rPr>
          <w:i/>
          <w:lang w:val="bg-BG"/>
        </w:rPr>
      </w:pPr>
    </w:p>
    <w:p w:rsidR="00951A69" w:rsidRPr="00AB6393" w:rsidRDefault="00951A69" w:rsidP="00951A69">
      <w:pPr>
        <w:autoSpaceDE w:val="0"/>
        <w:autoSpaceDN w:val="0"/>
        <w:adjustRightInd w:val="0"/>
        <w:spacing w:line="240" w:lineRule="auto"/>
        <w:rPr>
          <w:b/>
          <w:bCs/>
          <w:i/>
          <w:lang w:val="bg-BG"/>
        </w:rPr>
      </w:pPr>
      <w:r w:rsidRPr="00AB6393">
        <w:rPr>
          <w:b/>
          <w:bCs/>
          <w:i/>
          <w:lang w:val="bg-BG"/>
        </w:rPr>
        <w:t>4. Неясни инвестиционни намерения</w:t>
      </w:r>
    </w:p>
    <w:p w:rsidR="00AB6393" w:rsidRDefault="00AB6393" w:rsidP="00AB6393">
      <w:pPr>
        <w:autoSpaceDE w:val="0"/>
        <w:autoSpaceDN w:val="0"/>
        <w:adjustRightInd w:val="0"/>
        <w:spacing w:line="240" w:lineRule="auto"/>
        <w:ind w:firstLine="720"/>
        <w:rPr>
          <w:i/>
          <w:lang w:val="bg-BG"/>
        </w:rPr>
      </w:pPr>
    </w:p>
    <w:p w:rsidR="00951A69" w:rsidRPr="00AB6393" w:rsidRDefault="00951A69" w:rsidP="00AB6393">
      <w:pPr>
        <w:autoSpaceDE w:val="0"/>
        <w:autoSpaceDN w:val="0"/>
        <w:adjustRightInd w:val="0"/>
        <w:spacing w:line="240" w:lineRule="auto"/>
        <w:ind w:firstLine="720"/>
        <w:rPr>
          <w:i/>
          <w:lang w:val="bg-BG"/>
        </w:rPr>
      </w:pPr>
      <w:r w:rsidRPr="00AB6393">
        <w:rPr>
          <w:i/>
          <w:lang w:val="bg-BG"/>
        </w:rPr>
        <w:t>Инвеститорът е продал един от енергийните котли на друга фирма за извършване</w:t>
      </w:r>
      <w:r w:rsidR="00AB6393">
        <w:rPr>
          <w:i/>
          <w:lang w:val="bg-BG"/>
        </w:rPr>
        <w:t xml:space="preserve"> </w:t>
      </w:r>
      <w:r w:rsidRPr="00AB6393">
        <w:rPr>
          <w:i/>
          <w:lang w:val="bg-BG"/>
        </w:rPr>
        <w:t xml:space="preserve">дейност по преработка на неизяснен вид и количество горива. Управата на </w:t>
      </w:r>
      <w:proofErr w:type="spellStart"/>
      <w:r w:rsidRPr="00AB6393">
        <w:rPr>
          <w:i/>
          <w:lang w:val="bg-BG"/>
        </w:rPr>
        <w:t>теца</w:t>
      </w:r>
      <w:proofErr w:type="spellEnd"/>
      <w:r w:rsidRPr="00AB6393">
        <w:rPr>
          <w:i/>
          <w:lang w:val="bg-BG"/>
        </w:rPr>
        <w:t xml:space="preserve"> заяви публично, че се отказва от намерението си да гори отпадъци. Предоставяйки експлоатацията на части от инсталацията на друг субект, остава неясно дали това обещание ще бъде спазено.</w:t>
      </w:r>
    </w:p>
    <w:p w:rsidR="00951A69" w:rsidRPr="00AB6393" w:rsidRDefault="00951A69" w:rsidP="00951A69">
      <w:pPr>
        <w:autoSpaceDE w:val="0"/>
        <w:autoSpaceDN w:val="0"/>
        <w:adjustRightInd w:val="0"/>
        <w:spacing w:line="240" w:lineRule="auto"/>
        <w:rPr>
          <w:i/>
          <w:lang w:val="bg-BG"/>
        </w:rPr>
      </w:pPr>
    </w:p>
    <w:p w:rsidR="00951A69" w:rsidRPr="00AB6393" w:rsidRDefault="00951A69" w:rsidP="00951A69">
      <w:pPr>
        <w:autoSpaceDE w:val="0"/>
        <w:autoSpaceDN w:val="0"/>
        <w:adjustRightInd w:val="0"/>
        <w:spacing w:line="240" w:lineRule="auto"/>
        <w:rPr>
          <w:b/>
          <w:bCs/>
          <w:i/>
          <w:lang w:val="bg-BG"/>
        </w:rPr>
      </w:pPr>
      <w:r w:rsidRPr="00AB6393">
        <w:rPr>
          <w:b/>
          <w:bCs/>
          <w:i/>
          <w:lang w:val="bg-BG"/>
        </w:rPr>
        <w:t>5. Работа без пречиствателни съоръжения, чести аварии и нарушения на</w:t>
      </w:r>
    </w:p>
    <w:p w:rsidR="00951A69" w:rsidRPr="00AB6393" w:rsidRDefault="00951A69" w:rsidP="00951A69">
      <w:pPr>
        <w:autoSpaceDE w:val="0"/>
        <w:autoSpaceDN w:val="0"/>
        <w:adjustRightInd w:val="0"/>
        <w:spacing w:line="240" w:lineRule="auto"/>
        <w:rPr>
          <w:b/>
          <w:bCs/>
          <w:i/>
          <w:lang w:val="bg-BG"/>
        </w:rPr>
      </w:pPr>
      <w:r w:rsidRPr="00AB6393">
        <w:rPr>
          <w:b/>
          <w:bCs/>
          <w:i/>
          <w:lang w:val="bg-BG"/>
        </w:rPr>
        <w:t>екологичното законодателство</w:t>
      </w:r>
    </w:p>
    <w:p w:rsidR="00951A69" w:rsidRPr="00AB6393" w:rsidRDefault="00951A69" w:rsidP="00951A69">
      <w:pPr>
        <w:autoSpaceDE w:val="0"/>
        <w:autoSpaceDN w:val="0"/>
        <w:adjustRightInd w:val="0"/>
        <w:spacing w:line="240" w:lineRule="auto"/>
        <w:rPr>
          <w:b/>
          <w:bCs/>
          <w:i/>
          <w:lang w:val="bg-BG"/>
        </w:rPr>
      </w:pPr>
    </w:p>
    <w:p w:rsidR="00951A69" w:rsidRPr="00AB6393" w:rsidRDefault="00951A69" w:rsidP="00AB6393">
      <w:pPr>
        <w:autoSpaceDE w:val="0"/>
        <w:autoSpaceDN w:val="0"/>
        <w:adjustRightInd w:val="0"/>
        <w:spacing w:line="240" w:lineRule="auto"/>
        <w:ind w:firstLine="720"/>
        <w:rPr>
          <w:bCs/>
          <w:i/>
          <w:lang w:val="bg-BG"/>
        </w:rPr>
      </w:pPr>
      <w:r w:rsidRPr="00AB6393">
        <w:rPr>
          <w:bCs/>
          <w:i/>
          <w:lang w:val="bg-BG"/>
        </w:rPr>
        <w:t>Инсталацията на „Брикел“ ЕАД се намира в границите на град Гълъбово, в</w:t>
      </w:r>
    </w:p>
    <w:p w:rsidR="00951A69" w:rsidRPr="00AB6393" w:rsidRDefault="00951A69" w:rsidP="00951A69">
      <w:pPr>
        <w:autoSpaceDE w:val="0"/>
        <w:autoSpaceDN w:val="0"/>
        <w:adjustRightInd w:val="0"/>
        <w:spacing w:line="240" w:lineRule="auto"/>
        <w:rPr>
          <w:bCs/>
          <w:i/>
          <w:lang w:val="bg-BG"/>
        </w:rPr>
      </w:pPr>
      <w:r w:rsidRPr="00AB6393">
        <w:rPr>
          <w:bCs/>
          <w:i/>
          <w:lang w:val="bg-BG"/>
        </w:rPr>
        <w:t>непосредствена близост до жилищни сгради, училища, детски градини и здравни заведения. В представената информация операторът докладва, че през за 2019 г. инсталацията е имала 80 пускания на енергийните котли, а за 2020 г. – 84 пускания. Съгласно заложените условия за експлоатация, при всяко пускане централата работи поне 3 часа без пречиствателни съоръжения при употреба на много по-</w:t>
      </w:r>
      <w:r w:rsidR="00AB6393">
        <w:rPr>
          <w:bCs/>
          <w:i/>
          <w:lang w:val="bg-BG"/>
        </w:rPr>
        <w:t>з</w:t>
      </w:r>
      <w:r w:rsidRPr="00AB6393">
        <w:rPr>
          <w:bCs/>
          <w:i/>
          <w:lang w:val="bg-BG"/>
        </w:rPr>
        <w:t>амърсяващото гориво мазут. От тази данни може да се заключи, че през 2019 г. инсталацията е работила не по-малко от 240 часа без пречиствателни съоръжения, а през 2020 г. не по-малко от 246 г. При нормативно ограничение от 120 ч. работа без пречиствателни съоръжения на годишна база, това е явно нарушение.</w:t>
      </w:r>
    </w:p>
    <w:p w:rsidR="00951A69" w:rsidRPr="00AB6393" w:rsidRDefault="00951A69" w:rsidP="00951A69">
      <w:pPr>
        <w:autoSpaceDE w:val="0"/>
        <w:autoSpaceDN w:val="0"/>
        <w:adjustRightInd w:val="0"/>
        <w:spacing w:line="240" w:lineRule="auto"/>
        <w:rPr>
          <w:bCs/>
          <w:i/>
          <w:lang w:val="bg-BG"/>
        </w:rPr>
      </w:pPr>
    </w:p>
    <w:p w:rsidR="00951A69" w:rsidRDefault="00951A69" w:rsidP="00AB6393">
      <w:pPr>
        <w:autoSpaceDE w:val="0"/>
        <w:autoSpaceDN w:val="0"/>
        <w:adjustRightInd w:val="0"/>
        <w:spacing w:line="240" w:lineRule="auto"/>
        <w:ind w:firstLine="720"/>
        <w:rPr>
          <w:bCs/>
          <w:i/>
          <w:lang w:val="bg-BG"/>
        </w:rPr>
      </w:pPr>
      <w:r w:rsidRPr="00AB6393">
        <w:rPr>
          <w:bCs/>
          <w:i/>
          <w:lang w:val="bg-BG"/>
        </w:rPr>
        <w:t>Обезпокоително чести са случаите на аварии и изпускане на неорганизирани емисии. В медиите и социалните мрежи периодично се алармира за изпускане на непречистени димни газове и неорганизирани емисии, така наречения „черен облак“ около централата на „Брикел“.</w:t>
      </w:r>
    </w:p>
    <w:p w:rsidR="00AB6393" w:rsidRPr="00AB6393" w:rsidRDefault="00AB6393" w:rsidP="00AB6393">
      <w:pPr>
        <w:autoSpaceDE w:val="0"/>
        <w:autoSpaceDN w:val="0"/>
        <w:adjustRightInd w:val="0"/>
        <w:spacing w:line="240" w:lineRule="auto"/>
        <w:ind w:firstLine="720"/>
        <w:rPr>
          <w:bCs/>
          <w:i/>
          <w:lang w:val="bg-BG"/>
        </w:rPr>
      </w:pPr>
    </w:p>
    <w:p w:rsidR="00951A69" w:rsidRPr="00AB6393" w:rsidRDefault="00951A69" w:rsidP="00AB6393">
      <w:pPr>
        <w:autoSpaceDE w:val="0"/>
        <w:autoSpaceDN w:val="0"/>
        <w:adjustRightInd w:val="0"/>
        <w:spacing w:line="240" w:lineRule="auto"/>
        <w:ind w:firstLine="720"/>
        <w:rPr>
          <w:bCs/>
          <w:sz w:val="24"/>
          <w:szCs w:val="24"/>
          <w:lang w:val="bg-BG"/>
        </w:rPr>
      </w:pPr>
      <w:r w:rsidRPr="00AB6393">
        <w:rPr>
          <w:bCs/>
          <w:i/>
          <w:lang w:val="bg-BG"/>
        </w:rPr>
        <w:t>Наред с това, през последните години централата изгаря значителни количества неразрешени горива. Операторът докладва, че през 2019 г. централата е изгорила 276 391,82 тона биомаса и 17 566,55 неопасни отпадъци, което се равнява на 35,1% от общото изгорено количество горива. Към момента не е извършена оценка какво въздействие има това за здравето на живущите в района и за исторически замърсената околна среда на община Гълъбово.</w:t>
      </w:r>
    </w:p>
    <w:p w:rsidR="00951A69" w:rsidRPr="00AB6393" w:rsidRDefault="00951A69" w:rsidP="00951A69">
      <w:pPr>
        <w:ind w:left="360"/>
        <w:rPr>
          <w:lang w:val="bg-BG"/>
        </w:rPr>
      </w:pPr>
    </w:p>
    <w:p w:rsidR="00AD3F3D" w:rsidRPr="00AB6393" w:rsidRDefault="00E17260" w:rsidP="00517B6C">
      <w:pPr>
        <w:numPr>
          <w:ilvl w:val="0"/>
          <w:numId w:val="2"/>
        </w:numPr>
        <w:rPr>
          <w:b/>
          <w:sz w:val="24"/>
          <w:szCs w:val="24"/>
          <w:lang w:val="bg-BG"/>
        </w:rPr>
      </w:pPr>
      <w:r w:rsidRPr="00AB6393">
        <w:rPr>
          <w:b/>
          <w:sz w:val="24"/>
          <w:szCs w:val="24"/>
          <w:lang w:val="bg-BG"/>
        </w:rPr>
        <w:t>Допълнете изложението с други лични аргументи, които сметнете за важни за Вас, Вашето здраве и това на близките Ви, за състоянието на околната среда и т.н.</w:t>
      </w:r>
    </w:p>
    <w:p w:rsidR="00AD3F3D" w:rsidRPr="00AB6393" w:rsidRDefault="00AD3F3D" w:rsidP="000828A6">
      <w:pPr>
        <w:rPr>
          <w:b/>
          <w:sz w:val="24"/>
          <w:szCs w:val="24"/>
          <w:lang w:val="bg-BG"/>
        </w:rPr>
      </w:pPr>
    </w:p>
    <w:p w:rsidR="000828A6" w:rsidRPr="00AB6393" w:rsidRDefault="00E17260" w:rsidP="00517B6C">
      <w:pPr>
        <w:numPr>
          <w:ilvl w:val="0"/>
          <w:numId w:val="2"/>
        </w:numPr>
        <w:rPr>
          <w:b/>
          <w:sz w:val="24"/>
          <w:szCs w:val="24"/>
          <w:lang w:val="bg-BG"/>
        </w:rPr>
      </w:pPr>
      <w:r w:rsidRPr="00AB6393">
        <w:rPr>
          <w:b/>
          <w:sz w:val="24"/>
          <w:szCs w:val="24"/>
          <w:lang w:val="bg-BG"/>
        </w:rPr>
        <w:t xml:space="preserve">Завършете с дата, име и подпис (писмото </w:t>
      </w:r>
      <w:r w:rsidR="00645C54" w:rsidRPr="00AB6393">
        <w:rPr>
          <w:b/>
          <w:sz w:val="24"/>
          <w:szCs w:val="24"/>
          <w:lang w:val="bg-BG"/>
        </w:rPr>
        <w:t xml:space="preserve">трябва да е подписано и ако го </w:t>
      </w:r>
      <w:r w:rsidRPr="00AB6393">
        <w:rPr>
          <w:b/>
          <w:sz w:val="24"/>
          <w:szCs w:val="24"/>
          <w:lang w:val="bg-BG"/>
        </w:rPr>
        <w:t>изпращате по пощата</w:t>
      </w:r>
      <w:r w:rsidR="00645C54" w:rsidRPr="00AB6393">
        <w:rPr>
          <w:b/>
          <w:sz w:val="24"/>
          <w:szCs w:val="24"/>
          <w:lang w:val="bg-BG"/>
        </w:rPr>
        <w:t>,</w:t>
      </w:r>
      <w:r w:rsidRPr="00AB6393">
        <w:rPr>
          <w:b/>
          <w:sz w:val="24"/>
          <w:szCs w:val="24"/>
          <w:lang w:val="bg-BG"/>
        </w:rPr>
        <w:t xml:space="preserve"> и по електронна поща).</w:t>
      </w:r>
    </w:p>
    <w:p w:rsidR="000828A6" w:rsidRPr="00AB6393" w:rsidRDefault="000828A6" w:rsidP="000828A6">
      <w:pPr>
        <w:pStyle w:val="a5"/>
        <w:rPr>
          <w:b/>
          <w:sz w:val="24"/>
          <w:szCs w:val="24"/>
          <w:lang w:val="bg-BG"/>
        </w:rPr>
      </w:pPr>
    </w:p>
    <w:p w:rsidR="00AD3F3D" w:rsidRPr="00AB6393" w:rsidRDefault="000828A6" w:rsidP="000828A6">
      <w:pPr>
        <w:numPr>
          <w:ilvl w:val="0"/>
          <w:numId w:val="2"/>
        </w:numPr>
        <w:rPr>
          <w:b/>
          <w:sz w:val="24"/>
          <w:szCs w:val="24"/>
          <w:lang w:val="bg-BG"/>
        </w:rPr>
      </w:pPr>
      <w:r w:rsidRPr="00AB6393">
        <w:rPr>
          <w:b/>
          <w:sz w:val="24"/>
          <w:szCs w:val="24"/>
          <w:lang w:val="bg-BG"/>
        </w:rPr>
        <w:t>При изпращане на писмото изискайте входящ номер.</w:t>
      </w:r>
      <w:r w:rsidR="00E17260" w:rsidRPr="00AB6393">
        <w:rPr>
          <w:b/>
          <w:sz w:val="24"/>
          <w:szCs w:val="24"/>
          <w:lang w:val="bg-BG"/>
        </w:rPr>
        <w:t xml:space="preserve"> </w:t>
      </w:r>
    </w:p>
    <w:sectPr w:rsidR="00AD3F3D" w:rsidRPr="00AB63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21C8"/>
    <w:multiLevelType w:val="multilevel"/>
    <w:tmpl w:val="7970319C"/>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122FA0"/>
    <w:multiLevelType w:val="multilevel"/>
    <w:tmpl w:val="969ED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BB11DC"/>
    <w:multiLevelType w:val="multilevel"/>
    <w:tmpl w:val="7970319C"/>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8451C0"/>
    <w:multiLevelType w:val="hybridMultilevel"/>
    <w:tmpl w:val="0020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25AFD"/>
    <w:multiLevelType w:val="hybridMultilevel"/>
    <w:tmpl w:val="6114D1C8"/>
    <w:lvl w:ilvl="0" w:tplc="D34462C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3D"/>
    <w:rsid w:val="0001684E"/>
    <w:rsid w:val="000828A6"/>
    <w:rsid w:val="00202BBE"/>
    <w:rsid w:val="00517B6C"/>
    <w:rsid w:val="00645C54"/>
    <w:rsid w:val="00715E9C"/>
    <w:rsid w:val="007B7AA2"/>
    <w:rsid w:val="00951A69"/>
    <w:rsid w:val="00A77255"/>
    <w:rsid w:val="00AB6393"/>
    <w:rsid w:val="00AD3F3D"/>
    <w:rsid w:val="00B24E03"/>
    <w:rsid w:val="00E1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7585A-99D7-4737-A8F8-2A1B68AF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951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ea.government.bg/bg/obyavi/not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6577</Characters>
  <Application>Microsoft Office Word</Application>
  <DocSecurity>0</DocSecurity>
  <Lines>54</Lines>
  <Paragraphs>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Bondov</dc:creator>
  <cp:lastModifiedBy>Meglena Antonova</cp:lastModifiedBy>
  <cp:revision>3</cp:revision>
  <dcterms:created xsi:type="dcterms:W3CDTF">2021-04-27T06:06:00Z</dcterms:created>
  <dcterms:modified xsi:type="dcterms:W3CDTF">2021-04-27T06:06:00Z</dcterms:modified>
  <cp:contentStatus>Последен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