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doc. RNDr. Vojtěch Petráček, CSc.</w:t>
      </w:r>
    </w:p>
    <w:p w:rsidR="00000000" w:rsidDel="00000000" w:rsidP="00000000" w:rsidRDefault="00000000" w:rsidRPr="00000000" w14:paraId="00000002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rektor ČVUT </w:t>
      </w:r>
    </w:p>
    <w:p w:rsidR="00000000" w:rsidDel="00000000" w:rsidP="00000000" w:rsidRDefault="00000000" w:rsidRPr="00000000" w14:paraId="00000003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righ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Zikova 1903/4</w:t>
      </w:r>
    </w:p>
    <w:p w:rsidR="00000000" w:rsidDel="00000000" w:rsidP="00000000" w:rsidRDefault="00000000" w:rsidRPr="00000000" w14:paraId="00000005">
      <w:pPr>
        <w:contextualSpacing w:val="0"/>
        <w:jc w:val="right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166 36 Praha 6</w:t>
      </w:r>
    </w:p>
    <w:p w:rsidR="00000000" w:rsidDel="00000000" w:rsidP="00000000" w:rsidRDefault="00000000" w:rsidRPr="00000000" w14:paraId="00000006">
      <w:pPr>
        <w:contextualSpacing w:val="0"/>
        <w:jc w:val="right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Česká republika</w:t>
      </w:r>
    </w:p>
    <w:p w:rsidR="00000000" w:rsidDel="00000000" w:rsidP="00000000" w:rsidRDefault="00000000" w:rsidRPr="00000000" w14:paraId="00000007">
      <w:pPr>
        <w:contextualSpacing w:val="0"/>
        <w:jc w:val="right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right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Datová schránka: p83j9ee </w:t>
      </w:r>
    </w:p>
    <w:p w:rsidR="00000000" w:rsidDel="00000000" w:rsidP="00000000" w:rsidRDefault="00000000" w:rsidRPr="00000000" w14:paraId="00000009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V Praze dne 7. srpna 2018</w:t>
        <w:br w:type="textWrapping"/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Věc: Odvolání proti rozhodnutí o odmítnutí žádosti o informace, č. j. neuvedeno </w:t>
        <w:br w:type="textWrapping"/>
        <w:br w:type="textWrapping"/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Dobrý den,</w:t>
        <w:br w:type="textWrapping"/>
        <w:t xml:space="preserve">ve smyslu zákona č. 106/1999 Sb., o svobodném přístupu k informacím (dále jen zák. o inf.),  se tímto v zákonné lhůtě 15 dnů odvolávám k rektorovi ČVUT proti rozhodnutí o odmítnutí žádosti o informace ze dne </w:t>
      </w:r>
      <w:r w:rsidDel="00000000" w:rsidR="00000000" w:rsidRPr="00000000">
        <w:rPr>
          <w:color w:val="222222"/>
          <w:highlight w:val="white"/>
          <w:rtl w:val="0"/>
        </w:rPr>
        <w:t xml:space="preserve">22. 03. 2018 (ID zprávy: 560651883)</w:t>
      </w:r>
      <w:r w:rsidDel="00000000" w:rsidR="00000000" w:rsidRPr="00000000">
        <w:rPr>
          <w:rtl w:val="0"/>
        </w:rPr>
        <w:t xml:space="preserve">. Rozhodnutí o neposkytnutí informací bylo doručeno mailem dne 31. července a nebylo označeno jednacím číslem.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I.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ČVUT (dále jako povinný subjekt) jsem požádal o: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zaslání všech smluv uzavřených mezi ČVUT a společností Sev.en EC, a.s., se sídlem K</w:t>
      </w:r>
    </w:p>
    <w:p w:rsidR="00000000" w:rsidDel="00000000" w:rsidP="00000000" w:rsidRDefault="00000000" w:rsidRPr="00000000" w14:paraId="00000012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Elektrárně 227, 533 12 Chvaletice, IČO: 28786009, dříve pod názvem Elektrárna</w:t>
      </w:r>
    </w:p>
    <w:p w:rsidR="00000000" w:rsidDel="00000000" w:rsidP="00000000" w:rsidRDefault="00000000" w:rsidRPr="00000000" w14:paraId="00000013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Chvaletice, a.s., a to včetně všech dodatků těchto smluv, případně včetně všech</w:t>
      </w:r>
    </w:p>
    <w:p w:rsidR="00000000" w:rsidDel="00000000" w:rsidP="00000000" w:rsidRDefault="00000000" w:rsidRPr="00000000" w14:paraId="00000014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dokumentů, které na základě těchto smluv vznikly.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zaslání všech smluv uzavřených mezi ČVUT a společností Severní energetická a.s., se</w:t>
      </w:r>
    </w:p>
    <w:p w:rsidR="00000000" w:rsidDel="00000000" w:rsidP="00000000" w:rsidRDefault="00000000" w:rsidRPr="00000000" w14:paraId="00000016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sídlem Václava Řezáče 315, 434 01 Most, IČO: 28677986, a to včetně všech dodatků těchto smluv, případně včetně všech dokumentů, které na základě těchto smluv vznikly.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Preferoval jsem zaslání informací v elektronické podobě na uvedený e-mail. Žádost jsem podal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prostřednictvím elektronické adresy povinného subjektu.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Část smluv mi povinný subjekt zaslal </w:t>
      </w:r>
      <w:r w:rsidDel="00000000" w:rsidR="00000000" w:rsidRPr="00000000">
        <w:rPr>
          <w:highlight w:val="white"/>
          <w:rtl w:val="0"/>
        </w:rPr>
        <w:t xml:space="preserve">06.04.2018 (Č.j. 016/18/51912), další pak 10.4. 2018 (Č.j. 022/18/) s tím, že se zveřejněním dalších smluv musí souhlasit společnost Severní energetická kvůli možnému ohrožení obchodního tajemství. </w:t>
      </w:r>
      <w:r w:rsidDel="00000000" w:rsidR="00000000" w:rsidRPr="00000000">
        <w:rPr>
          <w:rtl w:val="0"/>
        </w:rPr>
        <w:t xml:space="preserve">Poté se povinný subjekt odmlčel a neodpověděl mi ani na mail 6. června, kterým jsem se se svou žádostí připomínal.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Ačkoli žádost o poskytnutí informací byla podána již v březnu, konečné rozhodnutí o neposkytnutí dvou zbývajících smluv padlo až na konci července. Protože ovšem není mým úmyslem přidělávat nadřízenému orgánu práci, byl jsem celou dobu trpělivý a nevyužil jsem práva podat proti tomuto zdlouhavému postupu stížnost podle paragrafu 16 zákona o svobodném přístupu k informacím. Nedomnívám se ale, že zde byl dodržen správný postup. 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V rozhodnutí povinný subjekt píše, že nemůže zveřejnit dvě smlouvy, o které bylo žádáno, protože s jejich zveřejněním nesouhlasí společnost Severní energetická  (celé znění naleznete na konci tohoto odvolání). Jedná se o tyto smlouvy:</w:t>
      </w:r>
    </w:p>
    <w:p w:rsidR="00000000" w:rsidDel="00000000" w:rsidP="00000000" w:rsidRDefault="00000000" w:rsidRPr="00000000" w14:paraId="00000020">
      <w:pPr>
        <w:shd w:fill="ffffff" w:val="clear"/>
        <w:contextualSpacing w:val="0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1.) </w:t>
      </w:r>
      <w:r w:rsidDel="00000000" w:rsidR="00000000" w:rsidRPr="00000000">
        <w:rPr>
          <w:b w:val="1"/>
          <w:i w:val="1"/>
          <w:color w:val="222222"/>
          <w:rtl w:val="0"/>
        </w:rPr>
        <w:t xml:space="preserve">Smlouva o dílo – Studie rekonstrukce najížděcí kotelny…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contextualSpacing w:val="0"/>
        <w:rPr>
          <w:b w:val="1"/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2.) </w:t>
      </w:r>
      <w:r w:rsidDel="00000000" w:rsidR="00000000" w:rsidRPr="00000000">
        <w:rPr>
          <w:b w:val="1"/>
          <w:i w:val="1"/>
          <w:color w:val="222222"/>
          <w:rtl w:val="0"/>
        </w:rPr>
        <w:t xml:space="preserve">Smlouva a trvalém partnerství a spolupráci…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Rozhodnutí nebylo označeno jednacím číslem a nebylo vyhotoveno na hlavičkovém papíře s atributy ČVUT jako předchozí zaslané dokumenty, obávám se tedy, že mohou vzniknout pochybnosti, zda splňovalo všechny náležitosti podle zák. o inf.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II.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Povinný subjekt poskytl část požadovaných informací a rozhodnutím odepřel část z nich poskytnout. V zákonné lhůtě se proto proti rozhodnutí povinného subjektu odvolávám. Důvody pro odvolání jsou následující: 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Postup ČVUT při posuzování mé žádosti hodnotím jako nesprávný. Povinný subjekt se nemůže zpětně doptávat, zda je ve smlouvě obsažené obchodní tajemství a co konkrétně obchodním tajemstvím je. P</w:t>
      </w:r>
      <w:r w:rsidDel="00000000" w:rsidR="00000000" w:rsidRPr="00000000">
        <w:rPr>
          <w:color w:val="222222"/>
          <w:highlight w:val="white"/>
          <w:rtl w:val="0"/>
        </w:rPr>
        <w:t xml:space="preserve">odle občanského zákoníku má podnikatel chránit svoje obchodní tajemství odpovídajícím způsobem, mimo jiné to znamená, že má včas jasně určit, co obchodní tajemství je a co obchodní tajemství není.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Obchodním tajemstvím je zpravidla část dokumentu, ne celý dokument. Podle judikatury správních soudů mají povinné subjekty poskytnout co největší část informace a začernit jen nezbytně nutné údaje, u kterých je to řádně odůvodněné podle paragrafu 12 zák. o inf. Neposkytnutí celého dokumentu je opět nesprávný postup.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Z rozsudku Nejvyššího správního soudu, sp. zn. 7 A 118/2002-37 (654/2005 Sb.NSS) jasně vyplývá, že</w:t>
      </w:r>
      <w:r w:rsidDel="00000000" w:rsidR="00000000" w:rsidRPr="00000000">
        <w:rPr>
          <w:i w:val="1"/>
          <w:color w:val="222222"/>
          <w:rtl w:val="0"/>
        </w:rPr>
        <w:t xml:space="preserve"> „existenci obchodního tajemství nelze dovodit jen z vůle jedné strany smlouvy utajit dané skutečnosti nebo prohlásit je za důvěrné. </w:t>
      </w:r>
      <w:r w:rsidDel="00000000" w:rsidR="00000000" w:rsidRPr="00000000">
        <w:rPr>
          <w:i w:val="1"/>
          <w:color w:val="222222"/>
          <w:rtl w:val="0"/>
        </w:rPr>
        <w:t xml:space="preserve">Podmínka zajišťování utajení je ve vztahu k obchodnímu tajemství podmínkou nutnou nikoli však dostačující.</w:t>
      </w:r>
      <w:r w:rsidDel="00000000" w:rsidR="00000000" w:rsidRPr="00000000">
        <w:rPr>
          <w:i w:val="1"/>
          <w:color w:val="222222"/>
          <w:rtl w:val="0"/>
        </w:rPr>
        <w:t xml:space="preserve">“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Nedomnívám se, že Smlouva o trvalém partnerství a spolupráci, o níž společnost Severní energetická informovala média a z jejíhož podpisu vznikly fotografie, je tajná v celém svém znění. Viz např. článek Jaroslava Průchy Těžaři zlákali ke spoluprávi ČVUT ze serveru iUhlí.cz z 13.5. 2015 (http://iuhli.cz/tezari-zlakali-ke-spolupraci-cvut/)</w:t>
      </w:r>
    </w:p>
    <w:p w:rsidR="00000000" w:rsidDel="00000000" w:rsidP="00000000" w:rsidRDefault="00000000" w:rsidRPr="00000000" w14:paraId="0000002C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III.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S ohledem na shora uvedené důvody navrhuji, aby povinný subjekt buď sám zrušil své výše uvedené rozhodnutí podle § 87 správního řádu a žádosti o informace vyhověl, anebo aby odvolací orgán výše uvedené rozhodnutí zrušil a povinnému subjektu nařídil požadované informace poskytnout.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 xml:space="preserve">IV.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  <w:t xml:space="preserve">V případě, že by tímto odvoláním napadené rozhodnutí přes svůj jednoznačný obsah nebylo podle právního názoru odvolacího orgánu rozhodnutím o odmítnutí žádosti na informace (třeba z důvodu </w:t>
      </w:r>
      <w:r w:rsidDel="00000000" w:rsidR="00000000" w:rsidRPr="00000000">
        <w:rPr>
          <w:rtl w:val="0"/>
        </w:rPr>
        <w:t xml:space="preserve">nulity</w:t>
      </w:r>
      <w:r w:rsidDel="00000000" w:rsidR="00000000" w:rsidRPr="00000000">
        <w:rPr>
          <w:rtl w:val="0"/>
        </w:rPr>
        <w:t xml:space="preserve">), považujte, prosím, toto mé odvolání za stížnost ve smyslu § 16a odst. 1 písm. b) zák. o inf.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  <w:t xml:space="preserve">S pozdravem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Bc. Lukáš Hrábek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Greenpeace ČR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Prvního pluku 12, Praha 186 00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………………………………………….</w:t>
        <w:br w:type="textWrapping"/>
        <w:t xml:space="preserve">(podpis)</w:t>
        <w:br w:type="textWrapping"/>
        <w:t xml:space="preserve"> </w:t>
        <w:br w:type="textWrapping"/>
        <w:t xml:space="preserve">      </w:t>
      </w:r>
    </w:p>
    <w:p w:rsidR="00000000" w:rsidDel="00000000" w:rsidP="00000000" w:rsidRDefault="00000000" w:rsidRPr="00000000" w14:paraId="0000003B">
      <w:pPr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  <w:br w:type="textWrapping"/>
        <w:t xml:space="preserve">Přikládám text doručeného rozhodnutí: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„Vážený pane Hrábku,</w:t>
      </w:r>
    </w:p>
    <w:p w:rsidR="00000000" w:rsidDel="00000000" w:rsidP="00000000" w:rsidRDefault="00000000" w:rsidRPr="00000000" w14:paraId="0000003C">
      <w:pPr>
        <w:shd w:fill="ffffff" w:val="clear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hd w:fill="ffffff" w:val="clear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ohledně Vaší žádosti o poskytnutí informací v níže uvedené záležitosti, v návaznosti na již poskytnuté informace, si dovolujeme reagovat na náš příslib a sdělujeme Vám, že ohledně zbývajících smluv Vám informace nemůžeme poskytnout z důvodu, který je obsažen v odpovědi společnosti Sev.en EC, a.s., kterou jsme obdrželi a jejíž obsah uvádíme zde:</w:t>
      </w:r>
    </w:p>
    <w:p w:rsidR="00000000" w:rsidDel="00000000" w:rsidP="00000000" w:rsidRDefault="00000000" w:rsidRPr="00000000" w14:paraId="0000003E">
      <w:pPr>
        <w:shd w:fill="ffffff" w:val="clear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hd w:fill="ffffff" w:val="clear"/>
        <w:contextualSpacing w:val="0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Vážená paní Kochová,</w:t>
      </w:r>
    </w:p>
    <w:p w:rsidR="00000000" w:rsidDel="00000000" w:rsidP="00000000" w:rsidRDefault="00000000" w:rsidRPr="00000000" w14:paraId="00000040">
      <w:pPr>
        <w:shd w:fill="ffffff" w:val="clear"/>
        <w:contextualSpacing w:val="0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Dne 16. 7. 2018 jste požádala kolegu Ing. Přemyslovského o „schválení nebo zamítnutí poskytnutí informací dle zákona č.106/1999 žadateli Greenpeace ČR a to za 1.)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rtl w:val="0"/>
        </w:rPr>
        <w:t xml:space="preserve">Smlouvu o dílo – Studie rekonstrukce najížděcí kotelny…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a za</w:t>
      </w:r>
    </w:p>
    <w:p w:rsidR="00000000" w:rsidDel="00000000" w:rsidP="00000000" w:rsidRDefault="00000000" w:rsidRPr="00000000" w14:paraId="00000041">
      <w:pPr>
        <w:shd w:fill="ffffff" w:val="clear"/>
        <w:contextualSpacing w:val="0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2.)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rtl w:val="0"/>
        </w:rPr>
        <w:t xml:space="preserve">Smlouva a trvalém partnerství a spolupráci…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.“</w:t>
      </w:r>
    </w:p>
    <w:p w:rsidR="00000000" w:rsidDel="00000000" w:rsidP="00000000" w:rsidRDefault="00000000" w:rsidRPr="00000000" w14:paraId="00000042">
      <w:pPr>
        <w:shd w:fill="ffffff" w:val="clear"/>
        <w:contextualSpacing w:val="0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Dovolujeme si zaslat Vám naše stanovisko:</w:t>
      </w:r>
    </w:p>
    <w:p w:rsidR="00000000" w:rsidDel="00000000" w:rsidP="00000000" w:rsidRDefault="00000000" w:rsidRPr="00000000" w14:paraId="00000043">
      <w:pPr>
        <w:shd w:fill="ffffff" w:val="clear"/>
        <w:contextualSpacing w:val="0"/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rtl w:val="0"/>
        </w:rPr>
        <w:t xml:space="preserve">S poskytnutím uvedených smluvních dokumentů nesouhlasíme, neboť je považujeme za obchodní tajemství naší společnosti. Tato skutečnost je zásadní zejména u Smlouvy o dílo – rekonstrukce najížděcí kotelny, kde v žádném případě nesouhlasíme s publikací byť i části uvedené smlouvy. Obdobně u smlouvy  o trvalém partnerství a spolupráci, kde poukazujeme, kromě ochrany obchodního tajemství, rovněž na ustanovení § 11 odst. 2 zákona o svobodném přístupu k informacím.</w:t>
      </w:r>
    </w:p>
    <w:p w:rsidR="00000000" w:rsidDel="00000000" w:rsidP="00000000" w:rsidRDefault="00000000" w:rsidRPr="00000000" w14:paraId="00000044">
      <w:pPr>
        <w:shd w:fill="ffffff" w:val="clear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hd w:fill="ffffff" w:val="clear"/>
        <w:contextualSpacing w:val="0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S pozdravem </w:t>
        <w:tab/>
        <w:t xml:space="preserve">            </w:t>
        <w:tab/>
        <w:t xml:space="preserve">Petr Kusebauch</w:t>
      </w:r>
    </w:p>
    <w:p w:rsidR="00000000" w:rsidDel="00000000" w:rsidP="00000000" w:rsidRDefault="00000000" w:rsidRPr="00000000" w14:paraId="00000046">
      <w:pPr>
        <w:shd w:fill="ffffff" w:val="clear"/>
        <w:contextualSpacing w:val="0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hd w:fill="ffffff" w:val="clear"/>
        <w:contextualSpacing w:val="0"/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rtl w:val="0"/>
        </w:rPr>
        <w:t xml:space="preserve">Ing. Petr Kusebauch, CIA</w:t>
      </w:r>
    </w:p>
    <w:p w:rsidR="00000000" w:rsidDel="00000000" w:rsidP="00000000" w:rsidRDefault="00000000" w:rsidRPr="00000000" w14:paraId="00000048">
      <w:pPr>
        <w:shd w:fill="ffffff" w:val="clear"/>
        <w:contextualSpacing w:val="0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Vedoucí odboru nákup</w:t>
      </w:r>
    </w:p>
    <w:p w:rsidR="00000000" w:rsidDel="00000000" w:rsidP="00000000" w:rsidRDefault="00000000" w:rsidRPr="00000000" w14:paraId="00000049">
      <w:pPr>
        <w:shd w:fill="ffffff" w:val="clear"/>
        <w:contextualSpacing w:val="0"/>
        <w:rPr>
          <w:rFonts w:ascii="Calibri" w:cs="Calibri" w:eastAsia="Calibri" w:hAnsi="Calibri"/>
          <w:color w:val="1f497d"/>
        </w:rPr>
      </w:pPr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hd w:fill="ffffff" w:val="clear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Vzhledem k výše uvedenému postoji protistrany, jako dotčené osoby, nemá ČVUT reálně jinou možnost, že požadovanou informaci neposkytnout, v opačném případě by se vystavovalo pochopitelnému a neúměrnému riziku spočívajícímu v odpovědnosti za případnou náhradu škody, která by tím (poskytnutím informace přes nesouhlas dotčené osoby) dotčené osobě vznikla.</w:t>
      </w:r>
    </w:p>
    <w:p w:rsidR="00000000" w:rsidDel="00000000" w:rsidP="00000000" w:rsidRDefault="00000000" w:rsidRPr="00000000" w14:paraId="0000004B">
      <w:pPr>
        <w:shd w:fill="ffffff" w:val="clear"/>
        <w:contextualSpacing w:val="0"/>
        <w:rPr>
          <w:rFonts w:ascii="Calibri" w:cs="Calibri" w:eastAsia="Calibri" w:hAnsi="Calibri"/>
          <w:color w:val="1f497d"/>
        </w:rPr>
      </w:pPr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hd w:fill="ffffff" w:val="clear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Poučení: Proti tomuto rozhodnutí ČVUT o odmítnutí poskytnutí části informace máte možnost se odvolat do 15 dnů od obdržení tohoto rozhodnutí a to podáním doručeným na ČVUT. O případném odvolání rozhoduje rektor ČVUT.</w:t>
      </w:r>
    </w:p>
    <w:p w:rsidR="00000000" w:rsidDel="00000000" w:rsidP="00000000" w:rsidRDefault="00000000" w:rsidRPr="00000000" w14:paraId="0000004D">
      <w:pPr>
        <w:shd w:fill="ffffff" w:val="clear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hd w:fill="ffffff" w:val="clear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 pozdravem</w:t>
      </w:r>
    </w:p>
    <w:p w:rsidR="00000000" w:rsidDel="00000000" w:rsidP="00000000" w:rsidRDefault="00000000" w:rsidRPr="00000000" w14:paraId="0000004F">
      <w:pPr>
        <w:shd w:fill="ffffff" w:val="clear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hd w:fill="ffffff" w:val="clear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Ing. Jiří Boháček, kvestor ČVUT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