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8C7" w:rsidRDefault="002C4FA6">
      <w:pPr>
        <w:rPr>
          <w:b/>
        </w:rPr>
      </w:pPr>
      <w:r>
        <w:rPr>
          <w:b/>
        </w:rPr>
        <w:t>24 new coal-fired power projects approved in China in first half of 2021: Greenpeace</w:t>
      </w:r>
    </w:p>
    <w:p w14:paraId="00000002" w14:textId="77777777" w:rsidR="006838C7" w:rsidRDefault="006838C7">
      <w:pPr>
        <w:rPr>
          <w:b/>
        </w:rPr>
      </w:pPr>
    </w:p>
    <w:p w14:paraId="00000003" w14:textId="77777777" w:rsidR="006838C7" w:rsidRDefault="002C4FA6">
      <w:pPr>
        <w:rPr>
          <w:b/>
        </w:rPr>
      </w:pPr>
      <w:r>
        <w:rPr>
          <w:b/>
        </w:rPr>
        <w:t>Key points:</w:t>
      </w:r>
    </w:p>
    <w:p w14:paraId="00000004" w14:textId="77777777" w:rsidR="006838C7" w:rsidRDefault="006838C7"/>
    <w:p w14:paraId="00000005" w14:textId="77777777" w:rsidR="006838C7" w:rsidRDefault="002C4FA6">
      <w:pPr>
        <w:numPr>
          <w:ilvl w:val="0"/>
          <w:numId w:val="1"/>
        </w:numPr>
      </w:pPr>
      <w:r>
        <w:t xml:space="preserve">In the first half of 2021, local </w:t>
      </w:r>
      <w:proofErr w:type="gramStart"/>
      <w:r>
        <w:t>development</w:t>
      </w:r>
      <w:proofErr w:type="gramEnd"/>
      <w:r>
        <w:t xml:space="preserve"> and reform commissions (DRCs) approved the construction of 24 coal-fired power plants, a total 5.2 gigawatts (GW) of coal-fired power capacity. This is a year-on decrease of 78.8%. </w:t>
      </w:r>
    </w:p>
    <w:p w14:paraId="00000006" w14:textId="77777777" w:rsidR="006838C7" w:rsidRDefault="006838C7"/>
    <w:p w14:paraId="00000007" w14:textId="77777777" w:rsidR="006838C7" w:rsidRDefault="002C4FA6">
      <w:pPr>
        <w:numPr>
          <w:ilvl w:val="0"/>
          <w:numId w:val="1"/>
        </w:numPr>
      </w:pPr>
      <w:r>
        <w:t>Three of these 24 projects a</w:t>
      </w:r>
      <w:r>
        <w:t>re large-scale non-CHP coal-fired power plants in Anhui and Shaanxi, which were included by the provincial governments in key project lists. Key projects</w:t>
      </w:r>
      <w:r>
        <w:rPr>
          <w:color w:val="4D5156"/>
          <w:highlight w:val="white"/>
        </w:rPr>
        <w:t>¹</w:t>
      </w:r>
      <w:r>
        <w:t xml:space="preserve"> are proposed by provincial governments to receive national funding, policy support, and priority stat</w:t>
      </w:r>
      <w:r>
        <w:t xml:space="preserve">us if approved by the central government as having strategic benefits. </w:t>
      </w:r>
    </w:p>
    <w:p w14:paraId="00000008" w14:textId="77777777" w:rsidR="006838C7" w:rsidRDefault="006838C7">
      <w:pPr>
        <w:ind w:left="720"/>
      </w:pPr>
    </w:p>
    <w:p w14:paraId="00000009" w14:textId="77777777" w:rsidR="006838C7" w:rsidRDefault="002C4FA6">
      <w:pPr>
        <w:ind w:left="720"/>
      </w:pPr>
      <w:r>
        <w:t xml:space="preserve">At present, 104.8 GW of coal capacity that has yet to go online remain on these key project </w:t>
      </w:r>
      <w:proofErr w:type="spellStart"/>
      <w:proofErr w:type="gramStart"/>
      <w:r>
        <w:t>lists.The</w:t>
      </w:r>
      <w:proofErr w:type="spellEnd"/>
      <w:proofErr w:type="gramEnd"/>
      <w:r>
        <w:t xml:space="preserve"> provincial key project lists include a total of 104.8 GW of coal-fired power capa</w:t>
      </w:r>
      <w:r>
        <w:t xml:space="preserve">city in pipeline. The provinces with the most projects in the pipeline are Shaanxi, Guangdong, Gansu, and Guizhou. Meanwhile, Shandong and Zhejiang’s pipeline now contains no coal-fired power </w:t>
      </w:r>
      <w:proofErr w:type="gramStart"/>
      <w:r>
        <w:t>projects, and</w:t>
      </w:r>
      <w:proofErr w:type="gramEnd"/>
      <w:r>
        <w:t xml:space="preserve"> should be followed as a new frontline in China’s e</w:t>
      </w:r>
      <w:r>
        <w:t>nergy transition.</w:t>
      </w:r>
    </w:p>
    <w:p w14:paraId="0000000A" w14:textId="77777777" w:rsidR="006838C7" w:rsidRDefault="006838C7"/>
    <w:p w14:paraId="0000000B" w14:textId="77777777" w:rsidR="006838C7" w:rsidRDefault="002C4FA6">
      <w:pPr>
        <w:numPr>
          <w:ilvl w:val="0"/>
          <w:numId w:val="1"/>
        </w:numPr>
      </w:pPr>
      <w:r>
        <w:t>Three of the 24 projects were non-combined heat and power (non-CHP) coal-fired power plants, accounting for 3.3 GW or 64.0% of the total H1 2021 approved capacity, were officially tied to power demand or national energy strategy for cros</w:t>
      </w:r>
      <w:r>
        <w:t xml:space="preserve">s-regional transmission. These three projects were located in Anhui and Shaanxi. </w:t>
      </w:r>
    </w:p>
    <w:p w14:paraId="0000000C" w14:textId="77777777" w:rsidR="006838C7" w:rsidRDefault="002C4FA6">
      <w:pPr>
        <w:numPr>
          <w:ilvl w:val="1"/>
          <w:numId w:val="1"/>
        </w:numPr>
      </w:pPr>
      <w:r>
        <w:t xml:space="preserve">These projects were approved because of “taking advantage of resources within the province to develop local economies and meet local power demand.” </w:t>
      </w:r>
    </w:p>
    <w:p w14:paraId="0000000D" w14:textId="77777777" w:rsidR="006838C7" w:rsidRDefault="002C4FA6">
      <w:pPr>
        <w:numPr>
          <w:ilvl w:val="1"/>
          <w:numId w:val="1"/>
        </w:numPr>
      </w:pPr>
      <w:r>
        <w:t xml:space="preserve">One project, the </w:t>
      </w:r>
      <w:proofErr w:type="spellStart"/>
      <w:r>
        <w:t>Datang</w:t>
      </w:r>
      <w:proofErr w:type="spellEnd"/>
      <w:r>
        <w:t xml:space="preserve"> S</w:t>
      </w:r>
      <w:r>
        <w:t xml:space="preserve">haanxi </w:t>
      </w:r>
      <w:proofErr w:type="spellStart"/>
      <w:r>
        <w:t>Xiwangzhai</w:t>
      </w:r>
      <w:proofErr w:type="spellEnd"/>
      <w:r>
        <w:t xml:space="preserve"> Coal and Electricity Integrated power project, was approved as part of the national “West-to-East Power Transmission” national energy strategy. </w:t>
      </w:r>
    </w:p>
    <w:p w14:paraId="0000000E" w14:textId="77777777" w:rsidR="006838C7" w:rsidRDefault="006838C7"/>
    <w:p w14:paraId="0000000F" w14:textId="77777777" w:rsidR="006838C7" w:rsidRDefault="002C4FA6">
      <w:pPr>
        <w:numPr>
          <w:ilvl w:val="0"/>
          <w:numId w:val="1"/>
        </w:numPr>
      </w:pPr>
      <w:r>
        <w:t xml:space="preserve">21 of the 24 projects that did gain approval, together accounting for 1.9 GW in total </w:t>
      </w:r>
      <w:proofErr w:type="gramStart"/>
      <w:r>
        <w:t>capaci</w:t>
      </w:r>
      <w:r>
        <w:t>ty,  were</w:t>
      </w:r>
      <w:proofErr w:type="gramEnd"/>
      <w:r>
        <w:t xml:space="preserve"> smaller back-pressure cogeneration units that mainly provide heating. </w:t>
      </w:r>
    </w:p>
    <w:p w14:paraId="00000010" w14:textId="77777777" w:rsidR="006838C7" w:rsidRDefault="006838C7"/>
    <w:p w14:paraId="00000011" w14:textId="77777777" w:rsidR="006838C7" w:rsidRDefault="002C4FA6">
      <w:r>
        <w:t>-------------------------------------------------------------------------------------------------------------------------------</w:t>
      </w:r>
    </w:p>
    <w:p w14:paraId="00000012" w14:textId="77777777" w:rsidR="006838C7" w:rsidRDefault="006838C7"/>
    <w:p w14:paraId="00000013" w14:textId="77777777" w:rsidR="006838C7" w:rsidRDefault="002C4FA6">
      <w:pPr>
        <w:rPr>
          <w:b/>
        </w:rPr>
      </w:pPr>
      <w:r>
        <w:rPr>
          <w:b/>
        </w:rPr>
        <w:t>5.2 GW approved in H1 2021, a year-on decreas</w:t>
      </w:r>
      <w:r>
        <w:rPr>
          <w:b/>
        </w:rPr>
        <w:t>e of 78.8%</w:t>
      </w:r>
    </w:p>
    <w:p w14:paraId="00000014" w14:textId="77777777" w:rsidR="006838C7" w:rsidRDefault="006838C7">
      <w:pPr>
        <w:rPr>
          <w:b/>
        </w:rPr>
      </w:pPr>
    </w:p>
    <w:p w14:paraId="00000015" w14:textId="77777777" w:rsidR="006838C7" w:rsidRDefault="002C4FA6">
      <w:r>
        <w:t>The majority of China’s carbon emissions come from combustion for generating energy, which accounts for around 88% of the total emissions, with 41% coming from coal consumption alone.</w:t>
      </w:r>
      <w:r>
        <w:rPr>
          <w:vertAlign w:val="superscript"/>
        </w:rPr>
        <w:footnoteReference w:id="1"/>
      </w:r>
      <w:r>
        <w:t xml:space="preserve"> </w:t>
      </w:r>
    </w:p>
    <w:p w14:paraId="00000016" w14:textId="77777777" w:rsidR="006838C7" w:rsidRDefault="006838C7"/>
    <w:p w14:paraId="00000017" w14:textId="77777777" w:rsidR="006838C7" w:rsidRDefault="002C4FA6">
      <w:r>
        <w:t>A review of data collated from public disclosures by rel</w:t>
      </w:r>
      <w:r>
        <w:t>ated provincial government departments</w:t>
      </w:r>
      <w:r>
        <w:rPr>
          <w:vertAlign w:val="superscript"/>
        </w:rPr>
        <w:footnoteReference w:id="2"/>
      </w:r>
      <w:r>
        <w:t xml:space="preserve"> showed that local DRCs approved 5.2 GW of capacity in new coal-fired power plants, which is a 78.8% decrease compared to the 24.3 GW approved in the first half of 2020.</w:t>
      </w:r>
    </w:p>
    <w:p w14:paraId="00000018" w14:textId="77777777" w:rsidR="006838C7" w:rsidRDefault="006838C7"/>
    <w:p w14:paraId="00000019" w14:textId="77777777" w:rsidR="006838C7" w:rsidRDefault="002C4FA6">
      <w:r>
        <w:rPr>
          <w:noProof/>
        </w:rPr>
        <w:drawing>
          <wp:inline distT="114300" distB="114300" distL="114300" distR="114300">
            <wp:extent cx="5100638" cy="3147028"/>
            <wp:effectExtent l="0" t="0" r="0" b="0"/>
            <wp:docPr id="3"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7"/>
                    <a:srcRect/>
                    <a:stretch>
                      <a:fillRect/>
                    </a:stretch>
                  </pic:blipFill>
                  <pic:spPr>
                    <a:xfrm>
                      <a:off x="0" y="0"/>
                      <a:ext cx="5100638" cy="3147028"/>
                    </a:xfrm>
                    <a:prstGeom prst="rect">
                      <a:avLst/>
                    </a:prstGeom>
                    <a:ln/>
                  </pic:spPr>
                </pic:pic>
              </a:graphicData>
            </a:graphic>
          </wp:inline>
        </w:drawing>
      </w:r>
    </w:p>
    <w:p w14:paraId="0000001A" w14:textId="77777777" w:rsidR="006838C7" w:rsidRDefault="002C4FA6">
      <w:r>
        <w:rPr>
          <w:b/>
        </w:rPr>
        <w:t>Graph 1.</w:t>
      </w:r>
      <w:r>
        <w:t xml:space="preserve"> A comparison of total coal-fired power capacity approved by DRCs in 2020 and 2021. </w:t>
      </w:r>
    </w:p>
    <w:p w14:paraId="0000001B" w14:textId="77777777" w:rsidR="006838C7" w:rsidRDefault="006838C7"/>
    <w:p w14:paraId="0000001C" w14:textId="77777777" w:rsidR="006838C7" w:rsidRDefault="002C4FA6">
      <w:r>
        <w:pict w14:anchorId="38E213DB">
          <v:rect id="_x0000_i1025" style="width:0;height:1.5pt" o:hralign="center" o:hrstd="t" o:hr="t" fillcolor="#a0a0a0" stroked="f"/>
        </w:pict>
      </w:r>
    </w:p>
    <w:p w14:paraId="0000001D" w14:textId="77777777" w:rsidR="006838C7" w:rsidRDefault="006838C7"/>
    <w:p w14:paraId="0000001E" w14:textId="77777777" w:rsidR="006838C7" w:rsidRDefault="002C4FA6">
      <w:pPr>
        <w:rPr>
          <w:b/>
        </w:rPr>
      </w:pPr>
      <w:r>
        <w:rPr>
          <w:b/>
        </w:rPr>
        <w:t>Project type</w:t>
      </w:r>
    </w:p>
    <w:p w14:paraId="0000001F" w14:textId="77777777" w:rsidR="006838C7" w:rsidRDefault="006838C7"/>
    <w:p w14:paraId="00000020" w14:textId="77777777" w:rsidR="006838C7" w:rsidRDefault="002C4FA6">
      <w:r>
        <w:t>Of the 5.2 GW of new coal-fired power capacity approved during the first half of 2021, three large-scale coal-fired power plants in Anhui and Shaanxi acc</w:t>
      </w:r>
      <w:r>
        <w:t xml:space="preserve">ount for 64.0% with a combined capacity of 3.3 GW. </w:t>
      </w:r>
    </w:p>
    <w:p w14:paraId="00000021" w14:textId="77777777" w:rsidR="006838C7" w:rsidRDefault="006838C7"/>
    <w:p w14:paraId="00000022" w14:textId="77777777" w:rsidR="006838C7" w:rsidRDefault="002C4FA6">
      <w:pPr>
        <w:rPr>
          <w:b/>
        </w:rPr>
      </w:pPr>
      <w:r>
        <w:t>The other 36.0% of capacity comes from 21 smaller projects with a combined capacity of 1.9 GW. These projects were distributed over nine different provinces, with the most capacity approved in Hubei (350</w:t>
      </w:r>
      <w:r>
        <w:t xml:space="preserve"> megawatts</w:t>
      </w:r>
      <w:r>
        <w:rPr>
          <w:vertAlign w:val="superscript"/>
        </w:rPr>
        <w:footnoteReference w:id="3"/>
      </w:r>
      <w:r>
        <w:t xml:space="preserve"> (MW)), Chongqing (350 MW), and Fujian (320 MW). Hubei and Chongqing both approved the construction of 350 MW supercritical cogeneration units for the Chongqing </w:t>
      </w:r>
      <w:proofErr w:type="spellStart"/>
      <w:r>
        <w:t>Nanchuan</w:t>
      </w:r>
      <w:proofErr w:type="spellEnd"/>
      <w:r>
        <w:t xml:space="preserve"> Industrial Park </w:t>
      </w:r>
      <w:proofErr w:type="spellStart"/>
      <w:r>
        <w:t>Shuihong</w:t>
      </w:r>
      <w:proofErr w:type="spellEnd"/>
      <w:r>
        <w:t xml:space="preserve"> Group Cogeneration Project and the Hubei Province</w:t>
      </w:r>
      <w:r>
        <w:t xml:space="preserve"> </w:t>
      </w:r>
      <w:proofErr w:type="spellStart"/>
      <w:r>
        <w:t>Jingneng</w:t>
      </w:r>
      <w:proofErr w:type="spellEnd"/>
      <w:r>
        <w:t xml:space="preserve"> </w:t>
      </w:r>
      <w:proofErr w:type="spellStart"/>
      <w:r>
        <w:t>Shiyan</w:t>
      </w:r>
      <w:proofErr w:type="spellEnd"/>
      <w:r>
        <w:t xml:space="preserve"> Cogeneration Two-Phase Project’s third unit, respectively. The other 19 projects are back-pressure systems to provide </w:t>
      </w:r>
      <w:proofErr w:type="gramStart"/>
      <w:r>
        <w:t>heating, and</w:t>
      </w:r>
      <w:proofErr w:type="gramEnd"/>
      <w:r>
        <w:t xml:space="preserve"> are mostly used in industrial parks or residential areas. </w:t>
      </w:r>
    </w:p>
    <w:p w14:paraId="00000023" w14:textId="77777777" w:rsidR="006838C7" w:rsidRDefault="002C4FA6">
      <w:r>
        <w:rPr>
          <w:noProof/>
        </w:rPr>
        <w:lastRenderedPageBreak/>
        <w:drawing>
          <wp:inline distT="114300" distB="114300" distL="114300" distR="114300">
            <wp:extent cx="4867275" cy="3181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67275" cy="3181350"/>
                    </a:xfrm>
                    <a:prstGeom prst="rect">
                      <a:avLst/>
                    </a:prstGeom>
                    <a:ln/>
                  </pic:spPr>
                </pic:pic>
              </a:graphicData>
            </a:graphic>
          </wp:inline>
        </w:drawing>
      </w:r>
    </w:p>
    <w:p w14:paraId="00000024" w14:textId="77777777" w:rsidR="006838C7" w:rsidRDefault="002C4FA6">
      <w:pPr>
        <w:rPr>
          <w:b/>
        </w:rPr>
      </w:pPr>
      <w:r>
        <w:rPr>
          <w:b/>
        </w:rPr>
        <w:t>Graph 2.</w:t>
      </w:r>
      <w:r>
        <w:t xml:space="preserve"> The percentage of China Mainland’s new</w:t>
      </w:r>
      <w:r>
        <w:t xml:space="preserve">-approved coal-fired power capacity by project type. </w:t>
      </w:r>
    </w:p>
    <w:p w14:paraId="00000025" w14:textId="77777777" w:rsidR="006838C7" w:rsidRDefault="006838C7">
      <w:pPr>
        <w:rPr>
          <w:b/>
        </w:rPr>
      </w:pPr>
    </w:p>
    <w:p w14:paraId="00000026" w14:textId="77777777" w:rsidR="006838C7" w:rsidRDefault="002C4FA6">
      <w:pPr>
        <w:rPr>
          <w:b/>
        </w:rPr>
      </w:pPr>
      <w:r>
        <w:rPr>
          <w:noProof/>
        </w:rPr>
        <w:drawing>
          <wp:inline distT="114300" distB="114300" distL="114300" distR="114300">
            <wp:extent cx="5695950" cy="35147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95950" cy="3514725"/>
                    </a:xfrm>
                    <a:prstGeom prst="rect">
                      <a:avLst/>
                    </a:prstGeom>
                    <a:ln/>
                  </pic:spPr>
                </pic:pic>
              </a:graphicData>
            </a:graphic>
          </wp:inline>
        </w:drawing>
      </w:r>
    </w:p>
    <w:p w14:paraId="00000027" w14:textId="77777777" w:rsidR="006838C7" w:rsidRDefault="002C4FA6">
      <w:r>
        <w:rPr>
          <w:b/>
        </w:rPr>
        <w:t>Graph 3.</w:t>
      </w:r>
      <w:r>
        <w:t xml:space="preserve"> New approved coal power capacity by province, municipality, or autonomous area. </w:t>
      </w:r>
    </w:p>
    <w:p w14:paraId="00000028" w14:textId="77777777" w:rsidR="006838C7" w:rsidRDefault="006838C7"/>
    <w:p w14:paraId="00000029" w14:textId="77777777" w:rsidR="006838C7" w:rsidRDefault="006838C7">
      <w:pPr>
        <w:rPr>
          <w:b/>
        </w:rPr>
      </w:pPr>
    </w:p>
    <w:p w14:paraId="0000002A" w14:textId="77777777" w:rsidR="006838C7" w:rsidRDefault="002C4FA6">
      <w:pPr>
        <w:rPr>
          <w:b/>
        </w:rPr>
      </w:pPr>
      <w:r>
        <w:pict w14:anchorId="040CAAF5">
          <v:rect id="_x0000_i1026" style="width:0;height:1.5pt" o:hralign="center" o:hrstd="t" o:hr="t" fillcolor="#a0a0a0" stroked="f"/>
        </w:pict>
      </w:r>
    </w:p>
    <w:p w14:paraId="0000002B" w14:textId="77777777" w:rsidR="006838C7" w:rsidRDefault="006838C7">
      <w:pPr>
        <w:rPr>
          <w:b/>
        </w:rPr>
      </w:pPr>
    </w:p>
    <w:p w14:paraId="0000002C" w14:textId="77777777" w:rsidR="006838C7" w:rsidRDefault="002C4FA6">
      <w:pPr>
        <w:rPr>
          <w:b/>
        </w:rPr>
      </w:pPr>
      <w:r>
        <w:rPr>
          <w:b/>
        </w:rPr>
        <w:lastRenderedPageBreak/>
        <w:t>Details on project approval process</w:t>
      </w:r>
    </w:p>
    <w:p w14:paraId="0000002D" w14:textId="77777777" w:rsidR="006838C7" w:rsidRDefault="006838C7">
      <w:pPr>
        <w:rPr>
          <w:b/>
        </w:rPr>
      </w:pPr>
    </w:p>
    <w:p w14:paraId="0000002E" w14:textId="77777777" w:rsidR="006838C7" w:rsidRDefault="002C4FA6">
      <w:r>
        <w:t>New-approved coal capacity concentrated in traditionally coal-depen</w:t>
      </w:r>
      <w:r>
        <w:t xml:space="preserve">dent regions, and all projects were large-scale (more than 0.6 gigawatts per unit). </w:t>
      </w:r>
    </w:p>
    <w:p w14:paraId="0000002F" w14:textId="77777777" w:rsidR="006838C7" w:rsidRDefault="006838C7"/>
    <w:p w14:paraId="00000030" w14:textId="77777777" w:rsidR="006838C7" w:rsidRDefault="002C4FA6">
      <w:r>
        <w:t xml:space="preserve">The </w:t>
      </w:r>
      <w:proofErr w:type="spellStart"/>
      <w:r>
        <w:t>Datang</w:t>
      </w:r>
      <w:proofErr w:type="spellEnd"/>
      <w:r>
        <w:t xml:space="preserve"> Shaanxi </w:t>
      </w:r>
      <w:proofErr w:type="spellStart"/>
      <w:r>
        <w:t>Xiwangzhai</w:t>
      </w:r>
      <w:proofErr w:type="spellEnd"/>
      <w:r>
        <w:t xml:space="preserve"> Coal and Electricity Integrated power project was approved as part of the national “West-to-East Power Transmission” national energy strateg</w:t>
      </w:r>
      <w:r>
        <w:t>y.</w:t>
      </w:r>
      <w:r>
        <w:rPr>
          <w:vertAlign w:val="superscript"/>
        </w:rPr>
        <w:footnoteReference w:id="4"/>
      </w:r>
      <w:r>
        <w:t xml:space="preserve"> This project includes two 660 MW new power plants and is one half of an integrated coal power project coupled by a ±800kV Ultra-high voltage direct current (UHV DC) power line for cross-regional power transmission from northern Shaanxi to Hubei. </w:t>
      </w:r>
    </w:p>
    <w:p w14:paraId="00000031" w14:textId="77777777" w:rsidR="006838C7" w:rsidRDefault="006838C7"/>
    <w:p w14:paraId="00000032" w14:textId="77777777" w:rsidR="006838C7" w:rsidRDefault="002C4FA6">
      <w:r>
        <w:rPr>
          <w:b/>
        </w:rPr>
        <w:t>Pro</w:t>
      </w:r>
      <w:r>
        <w:rPr>
          <w:b/>
        </w:rPr>
        <w:t>ject approval justifications</w:t>
      </w:r>
      <w:r>
        <w:t xml:space="preserve"> for the 3 larger coal power projects included: “promote the company’s industrial optimization”, “strengthening the company’s market competitiveness”, and “continuing the consolidation of the coal market”,</w:t>
      </w:r>
      <w:r>
        <w:rPr>
          <w:vertAlign w:val="superscript"/>
        </w:rPr>
        <w:footnoteReference w:id="5"/>
      </w:r>
      <w:r>
        <w:t xml:space="preserve"> “strategic consolidation of conglomerate’s coal power generation base”, “taking advantage of local natural resources”, “strengthening the construction of energy and chemical industrial bases”, and “promoting the integration of coal fired power projects”.</w:t>
      </w:r>
      <w:r>
        <w:rPr>
          <w:vertAlign w:val="superscript"/>
        </w:rPr>
        <w:footnoteReference w:id="6"/>
      </w:r>
    </w:p>
    <w:p w14:paraId="00000033" w14:textId="77777777" w:rsidR="006838C7" w:rsidRDefault="006838C7"/>
    <w:p w14:paraId="00000034" w14:textId="77777777" w:rsidR="006838C7" w:rsidRDefault="002C4FA6">
      <w:r>
        <w:rPr>
          <w:b/>
        </w:rPr>
        <w:t>Project finance</w:t>
      </w:r>
      <w:r>
        <w:t xml:space="preserve"> for two of the three non-cogeneration projects came from state-owned enterprises. This could come from several reasons, including state-owned and private companies backing off of financing new coal power generation after the latest signals from the centra</w:t>
      </w:r>
      <w:r>
        <w:t xml:space="preserve">l government, and because of recent difficulties in securing finance for these types of projects. </w:t>
      </w:r>
    </w:p>
    <w:p w14:paraId="00000035" w14:textId="77777777" w:rsidR="006838C7" w:rsidRDefault="006838C7"/>
    <w:p w14:paraId="00000036" w14:textId="77777777" w:rsidR="006838C7" w:rsidRDefault="002C4FA6">
      <w:pPr>
        <w:rPr>
          <w:color w:val="222222"/>
          <w:highlight w:val="white"/>
        </w:rPr>
      </w:pPr>
      <w:r>
        <w:t xml:space="preserve">Over the first half of 2021, the timing for new approvals for projects with coal capacity came in February and March, accounting for 38.7% and 28.1% of the </w:t>
      </w:r>
      <w:r>
        <w:t>total, respectively. On April 22, 2021, at the Leaders’ Summit on Climate, Chairman Xi Jinping said, “</w:t>
      </w:r>
      <w:r>
        <w:rPr>
          <w:color w:val="222222"/>
          <w:highlight w:val="white"/>
        </w:rPr>
        <w:t xml:space="preserve">China will strictly control coal-fired power generation projects, and strictly limit the increase in coal consumption over the 14th five-year plan period </w:t>
      </w:r>
      <w:r>
        <w:rPr>
          <w:color w:val="222222"/>
          <w:highlight w:val="white"/>
        </w:rPr>
        <w:t>and phase it down in the 15th five-year plan period.”</w:t>
      </w:r>
      <w:r>
        <w:rPr>
          <w:color w:val="222222"/>
          <w:highlight w:val="white"/>
          <w:vertAlign w:val="superscript"/>
        </w:rPr>
        <w:footnoteReference w:id="7"/>
      </w:r>
      <w:r>
        <w:rPr>
          <w:color w:val="222222"/>
          <w:highlight w:val="white"/>
        </w:rPr>
        <w:t xml:space="preserve"> Since then, 14 projects with coal-fired power capacity have been approved, notably </w:t>
      </w:r>
      <w:proofErr w:type="gramStart"/>
      <w:r>
        <w:rPr>
          <w:color w:val="222222"/>
          <w:highlight w:val="white"/>
        </w:rPr>
        <w:t>small scale</w:t>
      </w:r>
      <w:proofErr w:type="gramEnd"/>
      <w:r>
        <w:rPr>
          <w:color w:val="222222"/>
          <w:highlight w:val="white"/>
        </w:rPr>
        <w:t xml:space="preserve"> cogeneration projects (&lt;100MW). </w:t>
      </w:r>
    </w:p>
    <w:p w14:paraId="00000037" w14:textId="77777777" w:rsidR="006838C7" w:rsidRDefault="002C4FA6">
      <w:r>
        <w:rPr>
          <w:noProof/>
        </w:rPr>
        <w:lastRenderedPageBreak/>
        <w:drawing>
          <wp:inline distT="114300" distB="114300" distL="114300" distR="114300">
            <wp:extent cx="5943600" cy="3568700"/>
            <wp:effectExtent l="0" t="0" r="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0"/>
                    <a:srcRect/>
                    <a:stretch>
                      <a:fillRect/>
                    </a:stretch>
                  </pic:blipFill>
                  <pic:spPr>
                    <a:xfrm>
                      <a:off x="0" y="0"/>
                      <a:ext cx="5943600" cy="3568700"/>
                    </a:xfrm>
                    <a:prstGeom prst="rect">
                      <a:avLst/>
                    </a:prstGeom>
                    <a:ln/>
                  </pic:spPr>
                </pic:pic>
              </a:graphicData>
            </a:graphic>
          </wp:inline>
        </w:drawing>
      </w:r>
    </w:p>
    <w:p w14:paraId="00000038" w14:textId="77777777" w:rsidR="006838C7" w:rsidRDefault="002C4FA6">
      <w:r>
        <w:rPr>
          <w:b/>
        </w:rPr>
        <w:t>Graph 4.</w:t>
      </w:r>
      <w:r>
        <w:t xml:space="preserve"> New approved coal power capacity by month.</w:t>
      </w:r>
    </w:p>
    <w:p w14:paraId="00000039" w14:textId="77777777" w:rsidR="006838C7" w:rsidRDefault="006838C7"/>
    <w:p w14:paraId="0000003A" w14:textId="77777777" w:rsidR="006838C7" w:rsidRDefault="006838C7"/>
    <w:p w14:paraId="0000003B" w14:textId="77777777" w:rsidR="006838C7" w:rsidRDefault="002C4FA6">
      <w:pPr>
        <w:rPr>
          <w:b/>
        </w:rPr>
      </w:pPr>
      <w:r>
        <w:rPr>
          <w:b/>
        </w:rPr>
        <w:t xml:space="preserve">There are 104.8 </w:t>
      </w:r>
      <w:r>
        <w:rPr>
          <w:b/>
        </w:rPr>
        <w:t>GW of coal capacity in provincial key projects lists</w:t>
      </w:r>
    </w:p>
    <w:p w14:paraId="0000003C" w14:textId="77777777" w:rsidR="006838C7" w:rsidRDefault="006838C7">
      <w:pPr>
        <w:rPr>
          <w:b/>
        </w:rPr>
      </w:pPr>
    </w:p>
    <w:p w14:paraId="0000003D" w14:textId="77777777" w:rsidR="006838C7" w:rsidRDefault="002C4FA6">
      <w:r>
        <w:t>A review of 27 publicly available</w:t>
      </w:r>
      <w:r>
        <w:rPr>
          <w:vertAlign w:val="superscript"/>
        </w:rPr>
        <w:footnoteReference w:id="8"/>
      </w:r>
      <w:r>
        <w:rPr>
          <w:rFonts w:ascii="Arial Unicode MS" w:eastAsia="Arial Unicode MS" w:hAnsi="Arial Unicode MS" w:cs="Arial Unicode MS"/>
        </w:rPr>
        <w:t xml:space="preserve"> province level key projects lists (</w:t>
      </w:r>
      <w:r>
        <w:rPr>
          <w:rFonts w:ascii="Arial Unicode MS" w:eastAsia="Arial Unicode MS" w:hAnsi="Arial Unicode MS" w:cs="Arial Unicode MS"/>
        </w:rPr>
        <w:t>重大项目</w:t>
      </w:r>
      <w:r>
        <w:rPr>
          <w:rFonts w:ascii="Arial Unicode MS" w:eastAsia="Arial Unicode MS" w:hAnsi="Arial Unicode MS" w:cs="Arial Unicode MS"/>
        </w:rPr>
        <w:t>), which receive financial support, preferential policy work, and priority status from the national government which recognizes</w:t>
      </w:r>
      <w:r>
        <w:rPr>
          <w:rFonts w:ascii="Arial Unicode MS" w:eastAsia="Arial Unicode MS" w:hAnsi="Arial Unicode MS" w:cs="Arial Unicode MS"/>
        </w:rPr>
        <w:t xml:space="preserve"> the projects as having strategic value, showed that these lists contain 79 coal power projects, amounting to more than 104.8 GW of coal-fired power capacity. </w:t>
      </w:r>
    </w:p>
    <w:p w14:paraId="0000003E" w14:textId="77777777" w:rsidR="006838C7" w:rsidRDefault="006838C7"/>
    <w:p w14:paraId="0000003F" w14:textId="77777777" w:rsidR="006838C7" w:rsidRDefault="002C4FA6">
      <w:r>
        <w:t>In total, 23 different provinces have coal power projects on their key projects lists this year</w:t>
      </w:r>
      <w:r>
        <w:t xml:space="preserve">. This is a 20.9% increase from total coal power capacity on publicly available province level key projects lists from 2020, though only 21 provincial governments made these lists public in 2020, compared to 27 this year. </w:t>
      </w:r>
    </w:p>
    <w:p w14:paraId="00000040" w14:textId="77777777" w:rsidR="006838C7" w:rsidRDefault="006838C7"/>
    <w:p w14:paraId="00000041" w14:textId="77777777" w:rsidR="006838C7" w:rsidRDefault="002C4FA6">
      <w:r>
        <w:t xml:space="preserve">The provinces with the greatest </w:t>
      </w:r>
      <w:r>
        <w:t xml:space="preserve">capacity of coal power on their key </w:t>
      </w:r>
      <w:proofErr w:type="gramStart"/>
      <w:r>
        <w:t>projects</w:t>
      </w:r>
      <w:proofErr w:type="gramEnd"/>
      <w:r>
        <w:t xml:space="preserve"> lists were Shaanxi (14.0 GW), Guangdong (13.6 GW), and Gansu (10.1 GW). </w:t>
      </w:r>
    </w:p>
    <w:p w14:paraId="00000042" w14:textId="77777777" w:rsidR="006838C7" w:rsidRDefault="002C4FA6">
      <w:r>
        <w:rPr>
          <w:noProof/>
        </w:rPr>
        <w:lastRenderedPageBreak/>
        <w:drawing>
          <wp:inline distT="114300" distB="114300" distL="114300" distR="114300">
            <wp:extent cx="5943600" cy="42926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943600" cy="4292600"/>
                    </a:xfrm>
                    <a:prstGeom prst="rect">
                      <a:avLst/>
                    </a:prstGeom>
                    <a:ln/>
                  </pic:spPr>
                </pic:pic>
              </a:graphicData>
            </a:graphic>
          </wp:inline>
        </w:drawing>
      </w:r>
    </w:p>
    <w:p w14:paraId="00000043" w14:textId="77777777" w:rsidR="006838C7" w:rsidRDefault="002C4FA6">
      <w:r>
        <w:rPr>
          <w:b/>
        </w:rPr>
        <w:t>Graph 5.</w:t>
      </w:r>
      <w:r>
        <w:t xml:space="preserve"> Coal power capacity on provincial key projects lists in 2021. </w:t>
      </w:r>
    </w:p>
    <w:p w14:paraId="00000044" w14:textId="77777777" w:rsidR="006838C7" w:rsidRDefault="006838C7"/>
    <w:p w14:paraId="00000045" w14:textId="77777777" w:rsidR="006838C7" w:rsidRDefault="006838C7"/>
    <w:p w14:paraId="00000046" w14:textId="77777777" w:rsidR="006838C7" w:rsidRDefault="002C4FA6">
      <w:r>
        <w:t>Electricity supply has featured as a top-ranked concern for pr</w:t>
      </w:r>
      <w:r>
        <w:t>ovincial governments as heat waves drove up electricity demand, with local governments regulating electricity supply and staggering industrial projection to lower peak load.</w:t>
      </w:r>
      <w:r>
        <w:rPr>
          <w:vertAlign w:val="superscript"/>
        </w:rPr>
        <w:footnoteReference w:id="9"/>
      </w:r>
      <w:r>
        <w:rPr>
          <w:vertAlign w:val="superscript"/>
        </w:rPr>
        <w:footnoteReference w:id="10"/>
      </w:r>
      <w:r>
        <w:t xml:space="preserve"> In July, Xi’an, the capital of Shaanxi province experienced widespread electri</w:t>
      </w:r>
      <w:r>
        <w:t>city shortages, as electricity demand surged during a heat wave that lasted from June 28 to July 14 and broke previous peak usage records six different times.</w:t>
      </w:r>
      <w:r>
        <w:rPr>
          <w:vertAlign w:val="superscript"/>
        </w:rPr>
        <w:footnoteReference w:id="11"/>
      </w:r>
      <w:r>
        <w:t xml:space="preserve"> In the 14th five-year plan period, securing long-term electricity supply ranked first among jus</w:t>
      </w:r>
      <w:r>
        <w:t xml:space="preserve">tifications for constructing new power generation capacity. </w:t>
      </w:r>
    </w:p>
    <w:p w14:paraId="00000047" w14:textId="77777777" w:rsidR="006838C7" w:rsidRDefault="006838C7"/>
    <w:p w14:paraId="00000048" w14:textId="77777777" w:rsidR="006838C7" w:rsidRDefault="002C4FA6">
      <w:r>
        <w:lastRenderedPageBreak/>
        <w:t>In Shaanxi’s provincial 14th five-year plan, which ends in 2025, total electricity production capacity is planned to exceed 136 GW, of which only 65 GW is planned to come from renewable energy.</w:t>
      </w:r>
    </w:p>
    <w:p w14:paraId="00000049" w14:textId="77777777" w:rsidR="006838C7" w:rsidRDefault="006838C7"/>
    <w:p w14:paraId="0000004A" w14:textId="77777777" w:rsidR="006838C7" w:rsidRDefault="006838C7"/>
    <w:tbl>
      <w:tblPr>
        <w:tblStyle w:val="a"/>
        <w:tblW w:w="603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30"/>
        <w:gridCol w:w="1500"/>
      </w:tblGrid>
      <w:tr w:rsidR="006838C7" w14:paraId="4C852C4A" w14:textId="77777777">
        <w:trPr>
          <w:trHeight w:val="645"/>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000004B" w14:textId="77777777" w:rsidR="006838C7" w:rsidRDefault="002C4FA6">
            <w:pPr>
              <w:widowControl w:val="0"/>
              <w:jc w:val="center"/>
              <w:rPr>
                <w:sz w:val="20"/>
                <w:szCs w:val="20"/>
              </w:rPr>
            </w:pPr>
            <w:r>
              <w:rPr>
                <w:sz w:val="20"/>
                <w:szCs w:val="20"/>
              </w:rPr>
              <w:t>Province, municipality, autonomous region</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4C" w14:textId="77777777" w:rsidR="006838C7" w:rsidRDefault="002C4FA6">
            <w:pPr>
              <w:widowControl w:val="0"/>
              <w:jc w:val="center"/>
              <w:rPr>
                <w:sz w:val="20"/>
                <w:szCs w:val="20"/>
              </w:rPr>
            </w:pPr>
            <w:r>
              <w:rPr>
                <w:sz w:val="20"/>
                <w:szCs w:val="20"/>
              </w:rPr>
              <w:t>Total Capacity in 2021 List (MW)</w:t>
            </w:r>
          </w:p>
        </w:tc>
        <w:tc>
          <w:tcPr>
            <w:tcW w:w="15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4D" w14:textId="77777777" w:rsidR="006838C7" w:rsidRDefault="002C4FA6">
            <w:pPr>
              <w:widowControl w:val="0"/>
              <w:jc w:val="center"/>
              <w:rPr>
                <w:sz w:val="20"/>
                <w:szCs w:val="20"/>
              </w:rPr>
            </w:pPr>
            <w:r>
              <w:rPr>
                <w:sz w:val="20"/>
                <w:szCs w:val="20"/>
              </w:rPr>
              <w:t>Total Capacity in 2020 List (MW)</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4E" w14:textId="77777777" w:rsidR="006838C7" w:rsidRDefault="002C4FA6">
            <w:pPr>
              <w:widowControl w:val="0"/>
              <w:jc w:val="center"/>
              <w:rPr>
                <w:sz w:val="20"/>
                <w:szCs w:val="20"/>
              </w:rPr>
            </w:pPr>
            <w:r>
              <w:rPr>
                <w:sz w:val="20"/>
                <w:szCs w:val="20"/>
              </w:rPr>
              <w:t>Year-on difference (MW)</w:t>
            </w:r>
          </w:p>
        </w:tc>
      </w:tr>
      <w:tr w:rsidR="006838C7" w14:paraId="2C00EEAD"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4F" w14:textId="77777777" w:rsidR="006838C7" w:rsidRDefault="002C4FA6">
            <w:pPr>
              <w:widowControl w:val="0"/>
              <w:jc w:val="center"/>
              <w:rPr>
                <w:b/>
                <w:sz w:val="20"/>
                <w:szCs w:val="20"/>
              </w:rPr>
            </w:pPr>
            <w:r>
              <w:rPr>
                <w:b/>
                <w:sz w:val="20"/>
                <w:szCs w:val="20"/>
              </w:rPr>
              <w:t>Shanxi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0" w14:textId="77777777" w:rsidR="006838C7" w:rsidRDefault="002C4FA6">
            <w:pPr>
              <w:widowControl w:val="0"/>
              <w:jc w:val="center"/>
              <w:rPr>
                <w:sz w:val="20"/>
                <w:szCs w:val="20"/>
              </w:rPr>
            </w:pPr>
            <w:r>
              <w:rPr>
                <w:sz w:val="20"/>
                <w:szCs w:val="20"/>
              </w:rPr>
              <w:t>4000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1" w14:textId="77777777" w:rsidR="006838C7" w:rsidRDefault="002C4FA6">
            <w:pPr>
              <w:widowControl w:val="0"/>
              <w:jc w:val="center"/>
              <w:rPr>
                <w:sz w:val="20"/>
                <w:szCs w:val="20"/>
              </w:rPr>
            </w:pPr>
            <w:r>
              <w:rPr>
                <w:sz w:val="20"/>
                <w:szCs w:val="20"/>
              </w:rPr>
              <w:t>10040</w:t>
            </w:r>
          </w:p>
        </w:tc>
        <w:tc>
          <w:tcPr>
            <w:tcW w:w="1500" w:type="dxa"/>
            <w:tcBorders>
              <w:top w:val="single" w:sz="6" w:space="0" w:color="CCCCCC"/>
              <w:left w:val="single" w:sz="6" w:space="0" w:color="CCCCCC"/>
              <w:bottom w:val="single" w:sz="6" w:space="0" w:color="000000"/>
              <w:right w:val="single" w:sz="6" w:space="0" w:color="000000"/>
            </w:tcBorders>
            <w:shd w:val="clear" w:color="auto" w:fill="57BB8A"/>
            <w:tcMar>
              <w:top w:w="40" w:type="dxa"/>
              <w:left w:w="40" w:type="dxa"/>
              <w:bottom w:w="40" w:type="dxa"/>
              <w:right w:w="40" w:type="dxa"/>
            </w:tcMar>
          </w:tcPr>
          <w:p w14:paraId="00000052" w14:textId="77777777" w:rsidR="006838C7" w:rsidRDefault="002C4FA6">
            <w:pPr>
              <w:widowControl w:val="0"/>
              <w:jc w:val="center"/>
              <w:rPr>
                <w:sz w:val="20"/>
                <w:szCs w:val="20"/>
              </w:rPr>
            </w:pPr>
            <w:r>
              <w:rPr>
                <w:sz w:val="20"/>
                <w:szCs w:val="20"/>
              </w:rPr>
              <w:t>-6040</w:t>
            </w:r>
          </w:p>
        </w:tc>
      </w:tr>
      <w:tr w:rsidR="006838C7" w14:paraId="3AD11A85"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53" w14:textId="77777777" w:rsidR="006838C7" w:rsidRDefault="002C4FA6">
            <w:pPr>
              <w:widowControl w:val="0"/>
              <w:jc w:val="center"/>
              <w:rPr>
                <w:b/>
                <w:sz w:val="20"/>
                <w:szCs w:val="20"/>
              </w:rPr>
            </w:pPr>
            <w:r>
              <w:rPr>
                <w:b/>
                <w:sz w:val="20"/>
                <w:szCs w:val="20"/>
              </w:rPr>
              <w:t>Shaanxi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4" w14:textId="77777777" w:rsidR="006838C7" w:rsidRDefault="002C4FA6">
            <w:pPr>
              <w:widowControl w:val="0"/>
              <w:jc w:val="center"/>
              <w:rPr>
                <w:sz w:val="20"/>
                <w:szCs w:val="20"/>
              </w:rPr>
            </w:pPr>
            <w:r>
              <w:rPr>
                <w:sz w:val="20"/>
                <w:szCs w:val="20"/>
              </w:rPr>
              <w:t>13960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5" w14:textId="77777777" w:rsidR="006838C7" w:rsidRDefault="002C4FA6">
            <w:pPr>
              <w:widowControl w:val="0"/>
              <w:jc w:val="center"/>
              <w:rPr>
                <w:sz w:val="20"/>
                <w:szCs w:val="20"/>
              </w:rPr>
            </w:pPr>
            <w:r>
              <w:rPr>
                <w:sz w:val="20"/>
                <w:szCs w:val="20"/>
              </w:rPr>
              <w:t>18670</w:t>
            </w:r>
          </w:p>
        </w:tc>
        <w:tc>
          <w:tcPr>
            <w:tcW w:w="1500" w:type="dxa"/>
            <w:tcBorders>
              <w:top w:val="single" w:sz="6" w:space="0" w:color="CCCCCC"/>
              <w:left w:val="single" w:sz="6" w:space="0" w:color="CCCCCC"/>
              <w:bottom w:val="single" w:sz="6" w:space="0" w:color="000000"/>
              <w:right w:val="single" w:sz="6" w:space="0" w:color="000000"/>
            </w:tcBorders>
            <w:shd w:val="clear" w:color="auto" w:fill="7BC9A3"/>
            <w:tcMar>
              <w:top w:w="40" w:type="dxa"/>
              <w:left w:w="40" w:type="dxa"/>
              <w:bottom w:w="40" w:type="dxa"/>
              <w:right w:w="40" w:type="dxa"/>
            </w:tcMar>
          </w:tcPr>
          <w:p w14:paraId="00000056" w14:textId="77777777" w:rsidR="006838C7" w:rsidRDefault="002C4FA6">
            <w:pPr>
              <w:widowControl w:val="0"/>
              <w:jc w:val="center"/>
              <w:rPr>
                <w:sz w:val="20"/>
                <w:szCs w:val="20"/>
              </w:rPr>
            </w:pPr>
            <w:r>
              <w:rPr>
                <w:sz w:val="20"/>
                <w:szCs w:val="20"/>
              </w:rPr>
              <w:t>-4710</w:t>
            </w:r>
          </w:p>
        </w:tc>
      </w:tr>
      <w:tr w:rsidR="006838C7" w14:paraId="02F33896"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57" w14:textId="77777777" w:rsidR="006838C7" w:rsidRDefault="002C4FA6">
            <w:pPr>
              <w:widowControl w:val="0"/>
              <w:jc w:val="center"/>
              <w:rPr>
                <w:b/>
                <w:sz w:val="20"/>
                <w:szCs w:val="20"/>
              </w:rPr>
            </w:pPr>
            <w:r>
              <w:rPr>
                <w:b/>
                <w:sz w:val="20"/>
                <w:szCs w:val="20"/>
              </w:rPr>
              <w:t>Xinjiang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8" w14:textId="77777777" w:rsidR="006838C7" w:rsidRDefault="002C4FA6">
            <w:pPr>
              <w:widowControl w:val="0"/>
              <w:jc w:val="center"/>
              <w:rPr>
                <w:sz w:val="20"/>
                <w:szCs w:val="20"/>
              </w:rPr>
            </w:pPr>
            <w:r>
              <w:rPr>
                <w:sz w:val="20"/>
                <w:szCs w:val="20"/>
              </w:rPr>
              <w:t>5360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9" w14:textId="77777777" w:rsidR="006838C7" w:rsidRDefault="002C4FA6">
            <w:pPr>
              <w:widowControl w:val="0"/>
              <w:jc w:val="center"/>
              <w:rPr>
                <w:sz w:val="20"/>
                <w:szCs w:val="20"/>
              </w:rPr>
            </w:pPr>
            <w:r>
              <w:rPr>
                <w:sz w:val="20"/>
                <w:szCs w:val="20"/>
              </w:rPr>
              <w:t>7507</w:t>
            </w:r>
          </w:p>
        </w:tc>
        <w:tc>
          <w:tcPr>
            <w:tcW w:w="1500" w:type="dxa"/>
            <w:tcBorders>
              <w:top w:val="single" w:sz="6" w:space="0" w:color="CCCCCC"/>
              <w:left w:val="single" w:sz="6" w:space="0" w:color="CCCCCC"/>
              <w:bottom w:val="single" w:sz="6" w:space="0" w:color="000000"/>
              <w:right w:val="single" w:sz="6" w:space="0" w:color="000000"/>
            </w:tcBorders>
            <w:shd w:val="clear" w:color="auto" w:fill="C3E6D5"/>
            <w:tcMar>
              <w:top w:w="40" w:type="dxa"/>
              <w:left w:w="40" w:type="dxa"/>
              <w:bottom w:w="40" w:type="dxa"/>
              <w:right w:w="40" w:type="dxa"/>
            </w:tcMar>
          </w:tcPr>
          <w:p w14:paraId="0000005A" w14:textId="77777777" w:rsidR="006838C7" w:rsidRDefault="002C4FA6">
            <w:pPr>
              <w:widowControl w:val="0"/>
              <w:jc w:val="center"/>
              <w:rPr>
                <w:sz w:val="20"/>
                <w:szCs w:val="20"/>
              </w:rPr>
            </w:pPr>
            <w:r>
              <w:rPr>
                <w:sz w:val="20"/>
                <w:szCs w:val="20"/>
              </w:rPr>
              <w:t>-2147</w:t>
            </w:r>
          </w:p>
        </w:tc>
      </w:tr>
      <w:tr w:rsidR="006838C7" w14:paraId="47CE84EB"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5B" w14:textId="77777777" w:rsidR="006838C7" w:rsidRDefault="002C4FA6">
            <w:pPr>
              <w:widowControl w:val="0"/>
              <w:jc w:val="center"/>
              <w:rPr>
                <w:b/>
                <w:sz w:val="20"/>
                <w:szCs w:val="20"/>
              </w:rPr>
            </w:pPr>
            <w:r>
              <w:rPr>
                <w:b/>
                <w:sz w:val="20"/>
                <w:szCs w:val="20"/>
              </w:rPr>
              <w:t>Shandong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C" w14:textId="77777777" w:rsidR="006838C7" w:rsidRDefault="002C4FA6">
            <w:pPr>
              <w:widowControl w:val="0"/>
              <w:jc w:val="center"/>
              <w:rPr>
                <w:sz w:val="20"/>
                <w:szCs w:val="20"/>
              </w:rPr>
            </w:pPr>
            <w:r>
              <w:rPr>
                <w:b/>
                <w:sz w:val="20"/>
                <w:szCs w:val="20"/>
              </w:rPr>
              <w:t>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5D" w14:textId="77777777" w:rsidR="006838C7" w:rsidRDefault="002C4FA6">
            <w:pPr>
              <w:widowControl w:val="0"/>
              <w:jc w:val="center"/>
              <w:rPr>
                <w:sz w:val="20"/>
                <w:szCs w:val="20"/>
              </w:rPr>
            </w:pPr>
            <w:r>
              <w:rPr>
                <w:sz w:val="20"/>
                <w:szCs w:val="20"/>
              </w:rPr>
              <w:t>2025</w:t>
            </w:r>
          </w:p>
        </w:tc>
        <w:tc>
          <w:tcPr>
            <w:tcW w:w="1500" w:type="dxa"/>
            <w:tcBorders>
              <w:top w:val="single" w:sz="6" w:space="0" w:color="CCCCCC"/>
              <w:left w:val="single" w:sz="6" w:space="0" w:color="CCCCCC"/>
              <w:bottom w:val="single" w:sz="6" w:space="0" w:color="000000"/>
              <w:right w:val="single" w:sz="6" w:space="0" w:color="000000"/>
            </w:tcBorders>
            <w:shd w:val="clear" w:color="auto" w:fill="C6E8D7"/>
            <w:tcMar>
              <w:top w:w="40" w:type="dxa"/>
              <w:left w:w="40" w:type="dxa"/>
              <w:bottom w:w="40" w:type="dxa"/>
              <w:right w:w="40" w:type="dxa"/>
            </w:tcMar>
          </w:tcPr>
          <w:p w14:paraId="0000005E" w14:textId="77777777" w:rsidR="006838C7" w:rsidRDefault="002C4FA6">
            <w:pPr>
              <w:widowControl w:val="0"/>
              <w:jc w:val="center"/>
              <w:rPr>
                <w:sz w:val="20"/>
                <w:szCs w:val="20"/>
              </w:rPr>
            </w:pPr>
            <w:r>
              <w:rPr>
                <w:sz w:val="20"/>
                <w:szCs w:val="20"/>
              </w:rPr>
              <w:t>-2025</w:t>
            </w:r>
          </w:p>
        </w:tc>
      </w:tr>
      <w:tr w:rsidR="006838C7" w14:paraId="58CE0E94"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5F" w14:textId="77777777" w:rsidR="006838C7" w:rsidRDefault="002C4FA6">
            <w:pPr>
              <w:widowControl w:val="0"/>
              <w:jc w:val="center"/>
              <w:rPr>
                <w:b/>
                <w:sz w:val="20"/>
                <w:szCs w:val="20"/>
              </w:rPr>
            </w:pPr>
            <w:r>
              <w:rPr>
                <w:b/>
                <w:sz w:val="20"/>
                <w:szCs w:val="20"/>
              </w:rPr>
              <w:t>Zhejiang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0" w14:textId="77777777" w:rsidR="006838C7" w:rsidRDefault="002C4FA6">
            <w:pPr>
              <w:widowControl w:val="0"/>
              <w:jc w:val="center"/>
              <w:rPr>
                <w:sz w:val="20"/>
                <w:szCs w:val="20"/>
              </w:rPr>
            </w:pPr>
            <w:r>
              <w:rPr>
                <w:b/>
                <w:sz w:val="20"/>
                <w:szCs w:val="20"/>
              </w:rPr>
              <w:t>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1" w14:textId="77777777" w:rsidR="006838C7" w:rsidRDefault="002C4FA6">
            <w:pPr>
              <w:widowControl w:val="0"/>
              <w:jc w:val="center"/>
              <w:rPr>
                <w:sz w:val="20"/>
                <w:szCs w:val="20"/>
              </w:rPr>
            </w:pPr>
            <w:r>
              <w:rPr>
                <w:sz w:val="20"/>
                <w:szCs w:val="20"/>
              </w:rPr>
              <w:t>1605</w:t>
            </w:r>
          </w:p>
        </w:tc>
        <w:tc>
          <w:tcPr>
            <w:tcW w:w="1500" w:type="dxa"/>
            <w:tcBorders>
              <w:top w:val="single" w:sz="6" w:space="0" w:color="CCCCCC"/>
              <w:left w:val="single" w:sz="6" w:space="0" w:color="CCCCCC"/>
              <w:bottom w:val="single" w:sz="6" w:space="0" w:color="000000"/>
              <w:right w:val="single" w:sz="6" w:space="0" w:color="000000"/>
            </w:tcBorders>
            <w:shd w:val="clear" w:color="auto" w:fill="D2ECDF"/>
            <w:tcMar>
              <w:top w:w="40" w:type="dxa"/>
              <w:left w:w="40" w:type="dxa"/>
              <w:bottom w:w="40" w:type="dxa"/>
              <w:right w:w="40" w:type="dxa"/>
            </w:tcMar>
          </w:tcPr>
          <w:p w14:paraId="00000062" w14:textId="77777777" w:rsidR="006838C7" w:rsidRDefault="002C4FA6">
            <w:pPr>
              <w:widowControl w:val="0"/>
              <w:jc w:val="center"/>
              <w:rPr>
                <w:sz w:val="20"/>
                <w:szCs w:val="20"/>
              </w:rPr>
            </w:pPr>
            <w:r>
              <w:rPr>
                <w:sz w:val="20"/>
                <w:szCs w:val="20"/>
              </w:rPr>
              <w:t>-1605</w:t>
            </w:r>
          </w:p>
        </w:tc>
      </w:tr>
      <w:tr w:rsidR="006838C7" w14:paraId="74122120"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63" w14:textId="77777777" w:rsidR="006838C7" w:rsidRDefault="002C4FA6">
            <w:pPr>
              <w:widowControl w:val="0"/>
              <w:jc w:val="center"/>
              <w:rPr>
                <w:b/>
                <w:sz w:val="20"/>
                <w:szCs w:val="20"/>
              </w:rPr>
            </w:pPr>
            <w:r>
              <w:rPr>
                <w:b/>
                <w:sz w:val="20"/>
                <w:szCs w:val="20"/>
              </w:rPr>
              <w:t>Jiangxi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4" w14:textId="77777777" w:rsidR="006838C7" w:rsidRDefault="002C4FA6">
            <w:pPr>
              <w:widowControl w:val="0"/>
              <w:jc w:val="center"/>
              <w:rPr>
                <w:sz w:val="20"/>
                <w:szCs w:val="20"/>
              </w:rPr>
            </w:pPr>
            <w:r>
              <w:rPr>
                <w:sz w:val="20"/>
                <w:szCs w:val="20"/>
              </w:rPr>
              <w:t>7380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5" w14:textId="77777777" w:rsidR="006838C7" w:rsidRDefault="002C4FA6">
            <w:pPr>
              <w:widowControl w:val="0"/>
              <w:jc w:val="center"/>
              <w:rPr>
                <w:sz w:val="20"/>
                <w:szCs w:val="20"/>
              </w:rPr>
            </w:pPr>
            <w:r>
              <w:rPr>
                <w:sz w:val="20"/>
                <w:szCs w:val="20"/>
              </w:rPr>
              <w:t>7978</w:t>
            </w:r>
          </w:p>
        </w:tc>
        <w:tc>
          <w:tcPr>
            <w:tcW w:w="1500" w:type="dxa"/>
            <w:tcBorders>
              <w:top w:val="single" w:sz="6" w:space="0" w:color="CCCCCC"/>
              <w:left w:val="single" w:sz="6" w:space="0" w:color="CCCCCC"/>
              <w:bottom w:val="single" w:sz="6" w:space="0" w:color="000000"/>
              <w:right w:val="single" w:sz="6" w:space="0" w:color="000000"/>
            </w:tcBorders>
            <w:shd w:val="clear" w:color="auto" w:fill="EEF8F3"/>
            <w:tcMar>
              <w:top w:w="40" w:type="dxa"/>
              <w:left w:w="40" w:type="dxa"/>
              <w:bottom w:w="40" w:type="dxa"/>
              <w:right w:w="40" w:type="dxa"/>
            </w:tcMar>
          </w:tcPr>
          <w:p w14:paraId="00000066" w14:textId="77777777" w:rsidR="006838C7" w:rsidRDefault="002C4FA6">
            <w:pPr>
              <w:widowControl w:val="0"/>
              <w:jc w:val="center"/>
              <w:rPr>
                <w:sz w:val="20"/>
                <w:szCs w:val="20"/>
              </w:rPr>
            </w:pPr>
            <w:r>
              <w:rPr>
                <w:sz w:val="20"/>
                <w:szCs w:val="20"/>
              </w:rPr>
              <w:t>-598</w:t>
            </w:r>
          </w:p>
        </w:tc>
      </w:tr>
      <w:tr w:rsidR="006838C7" w14:paraId="768DAEE6"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67" w14:textId="77777777" w:rsidR="006838C7" w:rsidRDefault="002C4FA6">
            <w:pPr>
              <w:widowControl w:val="0"/>
              <w:jc w:val="center"/>
              <w:rPr>
                <w:b/>
                <w:sz w:val="20"/>
                <w:szCs w:val="20"/>
              </w:rPr>
            </w:pPr>
            <w:r>
              <w:rPr>
                <w:b/>
                <w:sz w:val="20"/>
                <w:szCs w:val="20"/>
              </w:rPr>
              <w:t>Tianjin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8" w14:textId="77777777" w:rsidR="006838C7" w:rsidRDefault="002C4FA6">
            <w:pPr>
              <w:widowControl w:val="0"/>
              <w:jc w:val="center"/>
              <w:rPr>
                <w:sz w:val="20"/>
                <w:szCs w:val="20"/>
              </w:rPr>
            </w:pPr>
            <w:r>
              <w:rPr>
                <w:sz w:val="20"/>
                <w:szCs w:val="20"/>
              </w:rPr>
              <w:t>1050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9" w14:textId="77777777" w:rsidR="006838C7" w:rsidRDefault="002C4FA6">
            <w:pPr>
              <w:widowControl w:val="0"/>
              <w:jc w:val="center"/>
              <w:rPr>
                <w:sz w:val="20"/>
                <w:szCs w:val="20"/>
              </w:rPr>
            </w:pPr>
            <w:r>
              <w:rPr>
                <w:sz w:val="20"/>
                <w:szCs w:val="20"/>
              </w:rPr>
              <w:t>1600</w:t>
            </w:r>
          </w:p>
        </w:tc>
        <w:tc>
          <w:tcPr>
            <w:tcW w:w="1500" w:type="dxa"/>
            <w:tcBorders>
              <w:top w:val="single" w:sz="6" w:space="0" w:color="CCCCCC"/>
              <w:left w:val="single" w:sz="6" w:space="0" w:color="CCCCCC"/>
              <w:bottom w:val="single" w:sz="6" w:space="0" w:color="000000"/>
              <w:right w:val="single" w:sz="6" w:space="0" w:color="000000"/>
            </w:tcBorders>
            <w:shd w:val="clear" w:color="auto" w:fill="EFF8F4"/>
            <w:tcMar>
              <w:top w:w="40" w:type="dxa"/>
              <w:left w:w="40" w:type="dxa"/>
              <w:bottom w:w="40" w:type="dxa"/>
              <w:right w:w="40" w:type="dxa"/>
            </w:tcMar>
          </w:tcPr>
          <w:p w14:paraId="0000006A" w14:textId="77777777" w:rsidR="006838C7" w:rsidRDefault="002C4FA6">
            <w:pPr>
              <w:widowControl w:val="0"/>
              <w:jc w:val="center"/>
              <w:rPr>
                <w:sz w:val="20"/>
                <w:szCs w:val="20"/>
              </w:rPr>
            </w:pPr>
            <w:r>
              <w:rPr>
                <w:sz w:val="20"/>
                <w:szCs w:val="20"/>
              </w:rPr>
              <w:t>-550</w:t>
            </w:r>
          </w:p>
        </w:tc>
      </w:tr>
      <w:tr w:rsidR="006838C7" w14:paraId="347BAB83"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6B" w14:textId="77777777" w:rsidR="006838C7" w:rsidRDefault="002C4FA6">
            <w:pPr>
              <w:widowControl w:val="0"/>
              <w:jc w:val="center"/>
              <w:rPr>
                <w:b/>
                <w:sz w:val="20"/>
                <w:szCs w:val="20"/>
              </w:rPr>
            </w:pPr>
            <w:r>
              <w:rPr>
                <w:b/>
                <w:sz w:val="20"/>
                <w:szCs w:val="20"/>
              </w:rPr>
              <w:t>Guangdong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C" w14:textId="77777777" w:rsidR="006838C7" w:rsidRDefault="002C4FA6">
            <w:pPr>
              <w:widowControl w:val="0"/>
              <w:jc w:val="center"/>
              <w:rPr>
                <w:sz w:val="20"/>
                <w:szCs w:val="20"/>
              </w:rPr>
            </w:pPr>
            <w:r>
              <w:rPr>
                <w:sz w:val="20"/>
                <w:szCs w:val="20"/>
              </w:rPr>
              <w:t>13640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6D" w14:textId="77777777" w:rsidR="006838C7" w:rsidRDefault="002C4FA6">
            <w:pPr>
              <w:widowControl w:val="0"/>
              <w:jc w:val="center"/>
              <w:rPr>
                <w:sz w:val="20"/>
                <w:szCs w:val="20"/>
              </w:rPr>
            </w:pPr>
            <w:r>
              <w:rPr>
                <w:sz w:val="20"/>
                <w:szCs w:val="20"/>
              </w:rPr>
              <w:t>14160</w:t>
            </w:r>
          </w:p>
        </w:tc>
        <w:tc>
          <w:tcPr>
            <w:tcW w:w="1500" w:type="dxa"/>
            <w:tcBorders>
              <w:top w:val="single" w:sz="6" w:space="0" w:color="CCCCCC"/>
              <w:left w:val="single" w:sz="6" w:space="0" w:color="CCCCCC"/>
              <w:bottom w:val="single" w:sz="6" w:space="0" w:color="000000"/>
              <w:right w:val="single" w:sz="6" w:space="0" w:color="000000"/>
            </w:tcBorders>
            <w:shd w:val="clear" w:color="auto" w:fill="F0F9F4"/>
            <w:tcMar>
              <w:top w:w="40" w:type="dxa"/>
              <w:left w:w="40" w:type="dxa"/>
              <w:bottom w:w="40" w:type="dxa"/>
              <w:right w:w="40" w:type="dxa"/>
            </w:tcMar>
          </w:tcPr>
          <w:p w14:paraId="0000006E" w14:textId="77777777" w:rsidR="006838C7" w:rsidRDefault="002C4FA6">
            <w:pPr>
              <w:widowControl w:val="0"/>
              <w:jc w:val="center"/>
              <w:rPr>
                <w:sz w:val="20"/>
                <w:szCs w:val="20"/>
              </w:rPr>
            </w:pPr>
            <w:r>
              <w:rPr>
                <w:sz w:val="20"/>
                <w:szCs w:val="20"/>
              </w:rPr>
              <w:t>-520</w:t>
            </w:r>
          </w:p>
        </w:tc>
      </w:tr>
      <w:tr w:rsidR="006838C7" w14:paraId="076F811B"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6F" w14:textId="77777777" w:rsidR="006838C7" w:rsidRDefault="002C4FA6">
            <w:pPr>
              <w:widowControl w:val="0"/>
              <w:jc w:val="center"/>
              <w:rPr>
                <w:b/>
                <w:sz w:val="20"/>
                <w:szCs w:val="20"/>
              </w:rPr>
            </w:pPr>
            <w:r>
              <w:rPr>
                <w:b/>
                <w:sz w:val="20"/>
                <w:szCs w:val="20"/>
              </w:rPr>
              <w:t>Henan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0" w14:textId="77777777" w:rsidR="006838C7" w:rsidRDefault="002C4FA6">
            <w:pPr>
              <w:widowControl w:val="0"/>
              <w:jc w:val="center"/>
              <w:rPr>
                <w:sz w:val="20"/>
                <w:szCs w:val="20"/>
              </w:rPr>
            </w:pPr>
            <w:r>
              <w:rPr>
                <w:sz w:val="20"/>
                <w:szCs w:val="20"/>
              </w:rPr>
              <w:t>2310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1" w14:textId="77777777" w:rsidR="006838C7" w:rsidRDefault="002C4FA6">
            <w:pPr>
              <w:widowControl w:val="0"/>
              <w:jc w:val="center"/>
              <w:rPr>
                <w:sz w:val="20"/>
                <w:szCs w:val="20"/>
              </w:rPr>
            </w:pPr>
            <w:r>
              <w:rPr>
                <w:sz w:val="20"/>
                <w:szCs w:val="20"/>
              </w:rPr>
              <w:t>2750</w:t>
            </w:r>
          </w:p>
        </w:tc>
        <w:tc>
          <w:tcPr>
            <w:tcW w:w="1500" w:type="dxa"/>
            <w:tcBorders>
              <w:top w:val="single" w:sz="6" w:space="0" w:color="CCCCCC"/>
              <w:left w:val="single" w:sz="6" w:space="0" w:color="CCCCCC"/>
              <w:bottom w:val="single" w:sz="6" w:space="0" w:color="000000"/>
              <w:right w:val="single" w:sz="6" w:space="0" w:color="000000"/>
            </w:tcBorders>
            <w:shd w:val="clear" w:color="auto" w:fill="F2FAF6"/>
            <w:tcMar>
              <w:top w:w="40" w:type="dxa"/>
              <w:left w:w="40" w:type="dxa"/>
              <w:bottom w:w="40" w:type="dxa"/>
              <w:right w:w="40" w:type="dxa"/>
            </w:tcMar>
          </w:tcPr>
          <w:p w14:paraId="00000072" w14:textId="77777777" w:rsidR="006838C7" w:rsidRDefault="002C4FA6">
            <w:pPr>
              <w:widowControl w:val="0"/>
              <w:jc w:val="center"/>
              <w:rPr>
                <w:sz w:val="20"/>
                <w:szCs w:val="20"/>
              </w:rPr>
            </w:pPr>
            <w:r>
              <w:rPr>
                <w:sz w:val="20"/>
                <w:szCs w:val="20"/>
              </w:rPr>
              <w:t>-440</w:t>
            </w:r>
          </w:p>
        </w:tc>
      </w:tr>
      <w:tr w:rsidR="006838C7" w14:paraId="5BB8AB58"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73" w14:textId="77777777" w:rsidR="006838C7" w:rsidRDefault="002C4FA6">
            <w:pPr>
              <w:widowControl w:val="0"/>
              <w:jc w:val="center"/>
              <w:rPr>
                <w:b/>
                <w:sz w:val="20"/>
                <w:szCs w:val="20"/>
              </w:rPr>
            </w:pPr>
            <w:r>
              <w:rPr>
                <w:b/>
                <w:sz w:val="20"/>
                <w:szCs w:val="20"/>
              </w:rPr>
              <w:t>Chongqing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4" w14:textId="77777777" w:rsidR="006838C7" w:rsidRDefault="002C4FA6">
            <w:pPr>
              <w:widowControl w:val="0"/>
              <w:jc w:val="center"/>
              <w:rPr>
                <w:sz w:val="20"/>
                <w:szCs w:val="20"/>
              </w:rPr>
            </w:pPr>
            <w:r>
              <w:rPr>
                <w:sz w:val="20"/>
                <w:szCs w:val="20"/>
              </w:rPr>
              <w:t>1320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5" w14:textId="77777777" w:rsidR="006838C7" w:rsidRDefault="002C4FA6">
            <w:pPr>
              <w:widowControl w:val="0"/>
              <w:jc w:val="center"/>
              <w:rPr>
                <w:sz w:val="20"/>
                <w:szCs w:val="20"/>
              </w:rPr>
            </w:pPr>
            <w:r>
              <w:rPr>
                <w:sz w:val="20"/>
                <w:szCs w:val="20"/>
              </w:rPr>
              <w:t>1320</w:t>
            </w:r>
          </w:p>
        </w:tc>
        <w:tc>
          <w:tcPr>
            <w:tcW w:w="15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0000076" w14:textId="77777777" w:rsidR="006838C7" w:rsidRDefault="002C4FA6">
            <w:pPr>
              <w:widowControl w:val="0"/>
              <w:jc w:val="center"/>
              <w:rPr>
                <w:sz w:val="20"/>
                <w:szCs w:val="20"/>
              </w:rPr>
            </w:pPr>
            <w:r>
              <w:rPr>
                <w:sz w:val="20"/>
                <w:szCs w:val="20"/>
              </w:rPr>
              <w:t>0</w:t>
            </w:r>
          </w:p>
        </w:tc>
      </w:tr>
      <w:tr w:rsidR="006838C7" w14:paraId="56923432"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77" w14:textId="77777777" w:rsidR="006838C7" w:rsidRDefault="002C4FA6">
            <w:pPr>
              <w:widowControl w:val="0"/>
              <w:jc w:val="center"/>
              <w:rPr>
                <w:b/>
                <w:sz w:val="20"/>
                <w:szCs w:val="20"/>
              </w:rPr>
            </w:pPr>
            <w:r>
              <w:rPr>
                <w:b/>
                <w:sz w:val="20"/>
                <w:szCs w:val="20"/>
              </w:rPr>
              <w:t>Shanghai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8" w14:textId="77777777" w:rsidR="006838C7" w:rsidRDefault="002C4FA6">
            <w:pPr>
              <w:widowControl w:val="0"/>
              <w:jc w:val="center"/>
              <w:rPr>
                <w:sz w:val="20"/>
                <w:szCs w:val="20"/>
              </w:rPr>
            </w:pPr>
            <w:r>
              <w:rPr>
                <w:sz w:val="20"/>
                <w:szCs w:val="20"/>
              </w:rPr>
              <w:t>1300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9" w14:textId="77777777" w:rsidR="006838C7" w:rsidRDefault="002C4FA6">
            <w:pPr>
              <w:widowControl w:val="0"/>
              <w:jc w:val="center"/>
              <w:rPr>
                <w:sz w:val="20"/>
                <w:szCs w:val="20"/>
              </w:rPr>
            </w:pPr>
            <w:r>
              <w:rPr>
                <w:sz w:val="20"/>
                <w:szCs w:val="20"/>
              </w:rPr>
              <w:t>1300</w:t>
            </w:r>
          </w:p>
        </w:tc>
        <w:tc>
          <w:tcPr>
            <w:tcW w:w="15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000007A" w14:textId="77777777" w:rsidR="006838C7" w:rsidRDefault="002C4FA6">
            <w:pPr>
              <w:widowControl w:val="0"/>
              <w:jc w:val="center"/>
              <w:rPr>
                <w:sz w:val="20"/>
                <w:szCs w:val="20"/>
              </w:rPr>
            </w:pPr>
            <w:r>
              <w:rPr>
                <w:sz w:val="20"/>
                <w:szCs w:val="20"/>
              </w:rPr>
              <w:t>0</w:t>
            </w:r>
          </w:p>
        </w:tc>
      </w:tr>
      <w:tr w:rsidR="006838C7" w14:paraId="41E94B37"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7B" w14:textId="77777777" w:rsidR="006838C7" w:rsidRDefault="002C4FA6">
            <w:pPr>
              <w:widowControl w:val="0"/>
              <w:jc w:val="center"/>
              <w:rPr>
                <w:b/>
                <w:sz w:val="20"/>
                <w:szCs w:val="20"/>
              </w:rPr>
            </w:pPr>
            <w:r>
              <w:rPr>
                <w:b/>
                <w:sz w:val="20"/>
                <w:szCs w:val="20"/>
              </w:rPr>
              <w:t>Hebei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C" w14:textId="77777777" w:rsidR="006838C7" w:rsidRDefault="002C4FA6">
            <w:pPr>
              <w:widowControl w:val="0"/>
              <w:jc w:val="center"/>
              <w:rPr>
                <w:sz w:val="20"/>
                <w:szCs w:val="20"/>
              </w:rPr>
            </w:pPr>
            <w:r>
              <w:rPr>
                <w:sz w:val="20"/>
                <w:szCs w:val="20"/>
              </w:rPr>
              <w:t>764</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7D" w14:textId="77777777" w:rsidR="006838C7" w:rsidRDefault="002C4FA6">
            <w:pPr>
              <w:widowControl w:val="0"/>
              <w:jc w:val="center"/>
              <w:rPr>
                <w:sz w:val="20"/>
                <w:szCs w:val="20"/>
              </w:rPr>
            </w:pPr>
            <w:r>
              <w:rPr>
                <w:sz w:val="20"/>
                <w:szCs w:val="20"/>
              </w:rPr>
              <w:t>700</w:t>
            </w:r>
          </w:p>
        </w:tc>
        <w:tc>
          <w:tcPr>
            <w:tcW w:w="1500" w:type="dxa"/>
            <w:tcBorders>
              <w:top w:val="single" w:sz="6" w:space="0" w:color="CCCCCC"/>
              <w:left w:val="single" w:sz="6" w:space="0" w:color="CCCCCC"/>
              <w:bottom w:val="single" w:sz="6" w:space="0" w:color="000000"/>
              <w:right w:val="single" w:sz="6" w:space="0" w:color="000000"/>
            </w:tcBorders>
            <w:shd w:val="clear" w:color="auto" w:fill="FFFEFE"/>
            <w:tcMar>
              <w:top w:w="40" w:type="dxa"/>
              <w:left w:w="40" w:type="dxa"/>
              <w:bottom w:w="40" w:type="dxa"/>
              <w:right w:w="40" w:type="dxa"/>
            </w:tcMar>
          </w:tcPr>
          <w:p w14:paraId="0000007E" w14:textId="77777777" w:rsidR="006838C7" w:rsidRDefault="002C4FA6">
            <w:pPr>
              <w:widowControl w:val="0"/>
              <w:jc w:val="center"/>
              <w:rPr>
                <w:sz w:val="20"/>
                <w:szCs w:val="20"/>
              </w:rPr>
            </w:pPr>
            <w:r>
              <w:rPr>
                <w:sz w:val="20"/>
                <w:szCs w:val="20"/>
              </w:rPr>
              <w:t>64</w:t>
            </w:r>
          </w:p>
        </w:tc>
      </w:tr>
      <w:tr w:rsidR="006838C7" w14:paraId="2DF749C9"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7F" w14:textId="77777777" w:rsidR="006838C7" w:rsidRDefault="002C4FA6">
            <w:pPr>
              <w:widowControl w:val="0"/>
              <w:jc w:val="center"/>
              <w:rPr>
                <w:b/>
                <w:sz w:val="20"/>
                <w:szCs w:val="20"/>
              </w:rPr>
            </w:pPr>
            <w:r>
              <w:rPr>
                <w:b/>
                <w:sz w:val="20"/>
                <w:szCs w:val="20"/>
              </w:rPr>
              <w:t>Liaoning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0" w14:textId="77777777" w:rsidR="006838C7" w:rsidRDefault="002C4FA6">
            <w:pPr>
              <w:widowControl w:val="0"/>
              <w:jc w:val="center"/>
              <w:rPr>
                <w:sz w:val="20"/>
                <w:szCs w:val="20"/>
              </w:rPr>
            </w:pPr>
            <w:r>
              <w:rPr>
                <w:sz w:val="20"/>
                <w:szCs w:val="20"/>
              </w:rPr>
              <w:t>1400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1" w14:textId="77777777" w:rsidR="006838C7" w:rsidRDefault="002C4FA6">
            <w:pPr>
              <w:widowControl w:val="0"/>
              <w:jc w:val="center"/>
              <w:rPr>
                <w:sz w:val="20"/>
                <w:szCs w:val="20"/>
              </w:rPr>
            </w:pPr>
            <w:r>
              <w:rPr>
                <w:sz w:val="20"/>
                <w:szCs w:val="20"/>
              </w:rPr>
              <w:t>1200</w:t>
            </w:r>
          </w:p>
        </w:tc>
        <w:tc>
          <w:tcPr>
            <w:tcW w:w="1500" w:type="dxa"/>
            <w:tcBorders>
              <w:top w:val="single" w:sz="6" w:space="0" w:color="CCCCCC"/>
              <w:left w:val="single" w:sz="6" w:space="0" w:color="CCCCCC"/>
              <w:bottom w:val="single" w:sz="6" w:space="0" w:color="000000"/>
              <w:right w:val="single" w:sz="6" w:space="0" w:color="000000"/>
            </w:tcBorders>
            <w:shd w:val="clear" w:color="auto" w:fill="FFFCFC"/>
            <w:tcMar>
              <w:top w:w="40" w:type="dxa"/>
              <w:left w:w="40" w:type="dxa"/>
              <w:bottom w:w="40" w:type="dxa"/>
              <w:right w:w="40" w:type="dxa"/>
            </w:tcMar>
          </w:tcPr>
          <w:p w14:paraId="00000082" w14:textId="77777777" w:rsidR="006838C7" w:rsidRDefault="002C4FA6">
            <w:pPr>
              <w:widowControl w:val="0"/>
              <w:jc w:val="center"/>
              <w:rPr>
                <w:sz w:val="20"/>
                <w:szCs w:val="20"/>
              </w:rPr>
            </w:pPr>
            <w:r>
              <w:rPr>
                <w:sz w:val="20"/>
                <w:szCs w:val="20"/>
              </w:rPr>
              <w:t>200</w:t>
            </w:r>
          </w:p>
        </w:tc>
      </w:tr>
      <w:tr w:rsidR="006838C7" w14:paraId="02D65E78"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83" w14:textId="77777777" w:rsidR="006838C7" w:rsidRDefault="002C4FA6">
            <w:pPr>
              <w:widowControl w:val="0"/>
              <w:jc w:val="center"/>
              <w:rPr>
                <w:b/>
                <w:sz w:val="20"/>
                <w:szCs w:val="20"/>
              </w:rPr>
            </w:pPr>
            <w:r>
              <w:rPr>
                <w:b/>
                <w:sz w:val="20"/>
                <w:szCs w:val="20"/>
              </w:rPr>
              <w:t>Ningxia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4" w14:textId="77777777" w:rsidR="006838C7" w:rsidRDefault="002C4FA6">
            <w:pPr>
              <w:widowControl w:val="0"/>
              <w:jc w:val="center"/>
              <w:rPr>
                <w:sz w:val="20"/>
                <w:szCs w:val="20"/>
              </w:rPr>
            </w:pPr>
            <w:r>
              <w:rPr>
                <w:sz w:val="20"/>
                <w:szCs w:val="20"/>
              </w:rPr>
              <w:t>360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5" w14:textId="77777777" w:rsidR="006838C7" w:rsidRDefault="002C4FA6">
            <w:pPr>
              <w:widowControl w:val="0"/>
              <w:jc w:val="center"/>
              <w:rPr>
                <w:sz w:val="20"/>
                <w:szCs w:val="20"/>
              </w:rPr>
            </w:pPr>
            <w:r>
              <w:rPr>
                <w:sz w:val="20"/>
                <w:szCs w:val="20"/>
              </w:rPr>
              <w:t>36</w:t>
            </w:r>
          </w:p>
        </w:tc>
        <w:tc>
          <w:tcPr>
            <w:tcW w:w="1500" w:type="dxa"/>
            <w:tcBorders>
              <w:top w:val="single" w:sz="6" w:space="0" w:color="CCCCCC"/>
              <w:left w:val="single" w:sz="6" w:space="0" w:color="CCCCCC"/>
              <w:bottom w:val="single" w:sz="6" w:space="0" w:color="000000"/>
              <w:right w:val="single" w:sz="6" w:space="0" w:color="000000"/>
            </w:tcBorders>
            <w:shd w:val="clear" w:color="auto" w:fill="FEFAF9"/>
            <w:tcMar>
              <w:top w:w="40" w:type="dxa"/>
              <w:left w:w="40" w:type="dxa"/>
              <w:bottom w:w="40" w:type="dxa"/>
              <w:right w:w="40" w:type="dxa"/>
            </w:tcMar>
          </w:tcPr>
          <w:p w14:paraId="00000086" w14:textId="77777777" w:rsidR="006838C7" w:rsidRDefault="002C4FA6">
            <w:pPr>
              <w:widowControl w:val="0"/>
              <w:jc w:val="center"/>
              <w:rPr>
                <w:sz w:val="20"/>
                <w:szCs w:val="20"/>
              </w:rPr>
            </w:pPr>
            <w:r>
              <w:rPr>
                <w:sz w:val="20"/>
                <w:szCs w:val="20"/>
              </w:rPr>
              <w:t>324</w:t>
            </w:r>
          </w:p>
        </w:tc>
      </w:tr>
      <w:tr w:rsidR="006838C7" w14:paraId="74F2C8C7"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87" w14:textId="77777777" w:rsidR="006838C7" w:rsidRDefault="002C4FA6">
            <w:pPr>
              <w:widowControl w:val="0"/>
              <w:jc w:val="center"/>
              <w:rPr>
                <w:b/>
                <w:sz w:val="20"/>
                <w:szCs w:val="20"/>
              </w:rPr>
            </w:pPr>
            <w:r>
              <w:rPr>
                <w:b/>
                <w:sz w:val="20"/>
                <w:szCs w:val="20"/>
              </w:rPr>
              <w:t>Yunnan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8" w14:textId="77777777" w:rsidR="006838C7" w:rsidRDefault="002C4FA6">
            <w:pPr>
              <w:widowControl w:val="0"/>
              <w:jc w:val="center"/>
              <w:rPr>
                <w:sz w:val="20"/>
                <w:szCs w:val="20"/>
              </w:rPr>
            </w:pPr>
            <w:r>
              <w:rPr>
                <w:sz w:val="20"/>
                <w:szCs w:val="20"/>
              </w:rPr>
              <w:t>600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9" w14:textId="77777777" w:rsidR="006838C7" w:rsidRDefault="002C4FA6">
            <w:pPr>
              <w:widowControl w:val="0"/>
              <w:jc w:val="center"/>
              <w:rPr>
                <w:sz w:val="20"/>
                <w:szCs w:val="20"/>
              </w:rPr>
            </w:pPr>
            <w:r>
              <w:rPr>
                <w:b/>
                <w:sz w:val="20"/>
                <w:szCs w:val="20"/>
              </w:rPr>
              <w:t>0</w:t>
            </w:r>
          </w:p>
        </w:tc>
        <w:tc>
          <w:tcPr>
            <w:tcW w:w="1500" w:type="dxa"/>
            <w:tcBorders>
              <w:top w:val="single" w:sz="6" w:space="0" w:color="CCCCCC"/>
              <w:left w:val="single" w:sz="6" w:space="0" w:color="CCCCCC"/>
              <w:bottom w:val="single" w:sz="6" w:space="0" w:color="000000"/>
              <w:right w:val="single" w:sz="6" w:space="0" w:color="000000"/>
            </w:tcBorders>
            <w:shd w:val="clear" w:color="auto" w:fill="FDF4F4"/>
            <w:tcMar>
              <w:top w:w="40" w:type="dxa"/>
              <w:left w:w="40" w:type="dxa"/>
              <w:bottom w:w="40" w:type="dxa"/>
              <w:right w:w="40" w:type="dxa"/>
            </w:tcMar>
          </w:tcPr>
          <w:p w14:paraId="0000008A" w14:textId="77777777" w:rsidR="006838C7" w:rsidRDefault="002C4FA6">
            <w:pPr>
              <w:widowControl w:val="0"/>
              <w:jc w:val="center"/>
              <w:rPr>
                <w:sz w:val="20"/>
                <w:szCs w:val="20"/>
              </w:rPr>
            </w:pPr>
            <w:r>
              <w:rPr>
                <w:sz w:val="20"/>
                <w:szCs w:val="20"/>
              </w:rPr>
              <w:t>600</w:t>
            </w:r>
          </w:p>
        </w:tc>
      </w:tr>
      <w:tr w:rsidR="006838C7" w14:paraId="210D7A6D"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8B" w14:textId="77777777" w:rsidR="006838C7" w:rsidRDefault="002C4FA6">
            <w:pPr>
              <w:widowControl w:val="0"/>
              <w:jc w:val="center"/>
              <w:rPr>
                <w:b/>
                <w:sz w:val="20"/>
                <w:szCs w:val="20"/>
              </w:rPr>
            </w:pPr>
            <w:r>
              <w:rPr>
                <w:b/>
                <w:sz w:val="20"/>
                <w:szCs w:val="20"/>
              </w:rPr>
              <w:t>Fujian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C" w14:textId="77777777" w:rsidR="006838C7" w:rsidRDefault="002C4FA6">
            <w:pPr>
              <w:widowControl w:val="0"/>
              <w:jc w:val="center"/>
              <w:rPr>
                <w:sz w:val="20"/>
                <w:szCs w:val="20"/>
              </w:rPr>
            </w:pPr>
            <w:r>
              <w:rPr>
                <w:sz w:val="20"/>
                <w:szCs w:val="20"/>
              </w:rPr>
              <w:t>4329</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8D" w14:textId="77777777" w:rsidR="006838C7" w:rsidRDefault="002C4FA6">
            <w:pPr>
              <w:widowControl w:val="0"/>
              <w:jc w:val="center"/>
              <w:rPr>
                <w:sz w:val="20"/>
                <w:szCs w:val="20"/>
              </w:rPr>
            </w:pPr>
            <w:r>
              <w:rPr>
                <w:sz w:val="20"/>
                <w:szCs w:val="20"/>
              </w:rPr>
              <w:t>2879</w:t>
            </w:r>
          </w:p>
        </w:tc>
        <w:tc>
          <w:tcPr>
            <w:tcW w:w="1500" w:type="dxa"/>
            <w:tcBorders>
              <w:top w:val="single" w:sz="6" w:space="0" w:color="CCCCCC"/>
              <w:left w:val="single" w:sz="6" w:space="0" w:color="CCCCCC"/>
              <w:bottom w:val="single" w:sz="6" w:space="0" w:color="000000"/>
              <w:right w:val="single" w:sz="6" w:space="0" w:color="000000"/>
            </w:tcBorders>
            <w:shd w:val="clear" w:color="auto" w:fill="FAE5E3"/>
            <w:tcMar>
              <w:top w:w="40" w:type="dxa"/>
              <w:left w:w="40" w:type="dxa"/>
              <w:bottom w:w="40" w:type="dxa"/>
              <w:right w:w="40" w:type="dxa"/>
            </w:tcMar>
          </w:tcPr>
          <w:p w14:paraId="0000008E" w14:textId="77777777" w:rsidR="006838C7" w:rsidRDefault="002C4FA6">
            <w:pPr>
              <w:widowControl w:val="0"/>
              <w:jc w:val="center"/>
              <w:rPr>
                <w:sz w:val="20"/>
                <w:szCs w:val="20"/>
              </w:rPr>
            </w:pPr>
            <w:r>
              <w:rPr>
                <w:sz w:val="20"/>
                <w:szCs w:val="20"/>
              </w:rPr>
              <w:t>1450</w:t>
            </w:r>
          </w:p>
        </w:tc>
      </w:tr>
      <w:tr w:rsidR="006838C7" w14:paraId="1D1E6305"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8F" w14:textId="77777777" w:rsidR="006838C7" w:rsidRDefault="002C4FA6">
            <w:pPr>
              <w:widowControl w:val="0"/>
              <w:jc w:val="center"/>
              <w:rPr>
                <w:b/>
                <w:sz w:val="20"/>
                <w:szCs w:val="20"/>
              </w:rPr>
            </w:pPr>
            <w:r>
              <w:rPr>
                <w:b/>
                <w:sz w:val="20"/>
                <w:szCs w:val="20"/>
              </w:rPr>
              <w:t>Hunan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0" w14:textId="77777777" w:rsidR="006838C7" w:rsidRDefault="002C4FA6">
            <w:pPr>
              <w:widowControl w:val="0"/>
              <w:jc w:val="center"/>
              <w:rPr>
                <w:sz w:val="20"/>
                <w:szCs w:val="20"/>
              </w:rPr>
            </w:pPr>
            <w:r>
              <w:rPr>
                <w:sz w:val="20"/>
                <w:szCs w:val="20"/>
              </w:rPr>
              <w:t>8100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1" w14:textId="77777777" w:rsidR="006838C7" w:rsidRDefault="002C4FA6">
            <w:pPr>
              <w:widowControl w:val="0"/>
              <w:jc w:val="center"/>
              <w:rPr>
                <w:sz w:val="20"/>
                <w:szCs w:val="20"/>
              </w:rPr>
            </w:pPr>
            <w:r>
              <w:rPr>
                <w:sz w:val="20"/>
                <w:szCs w:val="20"/>
              </w:rPr>
              <w:t>6100</w:t>
            </w:r>
          </w:p>
        </w:tc>
        <w:tc>
          <w:tcPr>
            <w:tcW w:w="1500" w:type="dxa"/>
            <w:tcBorders>
              <w:top w:val="single" w:sz="6" w:space="0" w:color="CCCCCC"/>
              <w:left w:val="single" w:sz="6" w:space="0" w:color="CCCCCC"/>
              <w:bottom w:val="single" w:sz="6" w:space="0" w:color="000000"/>
              <w:right w:val="single" w:sz="6" w:space="0" w:color="000000"/>
            </w:tcBorders>
            <w:shd w:val="clear" w:color="auto" w:fill="F8DBD8"/>
            <w:tcMar>
              <w:top w:w="40" w:type="dxa"/>
              <w:left w:w="40" w:type="dxa"/>
              <w:bottom w:w="40" w:type="dxa"/>
              <w:right w:w="40" w:type="dxa"/>
            </w:tcMar>
          </w:tcPr>
          <w:p w14:paraId="00000092" w14:textId="77777777" w:rsidR="006838C7" w:rsidRDefault="002C4FA6">
            <w:pPr>
              <w:widowControl w:val="0"/>
              <w:jc w:val="center"/>
              <w:rPr>
                <w:sz w:val="20"/>
                <w:szCs w:val="20"/>
              </w:rPr>
            </w:pPr>
            <w:r>
              <w:rPr>
                <w:sz w:val="20"/>
                <w:szCs w:val="20"/>
              </w:rPr>
              <w:t>2000</w:t>
            </w:r>
          </w:p>
        </w:tc>
      </w:tr>
      <w:tr w:rsidR="006838C7" w14:paraId="31C96BDE"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93" w14:textId="77777777" w:rsidR="006838C7" w:rsidRDefault="002C4FA6">
            <w:pPr>
              <w:widowControl w:val="0"/>
              <w:jc w:val="center"/>
              <w:rPr>
                <w:b/>
                <w:sz w:val="20"/>
                <w:szCs w:val="20"/>
              </w:rPr>
            </w:pPr>
            <w:r>
              <w:rPr>
                <w:b/>
                <w:sz w:val="20"/>
                <w:szCs w:val="20"/>
              </w:rPr>
              <w:t>Guangxi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4" w14:textId="77777777" w:rsidR="006838C7" w:rsidRDefault="002C4FA6">
            <w:pPr>
              <w:widowControl w:val="0"/>
              <w:jc w:val="center"/>
              <w:rPr>
                <w:sz w:val="20"/>
                <w:szCs w:val="20"/>
              </w:rPr>
            </w:pPr>
            <w:r>
              <w:rPr>
                <w:sz w:val="20"/>
                <w:szCs w:val="20"/>
              </w:rPr>
              <w:t>2000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5" w14:textId="77777777" w:rsidR="006838C7" w:rsidRDefault="002C4FA6">
            <w:pPr>
              <w:widowControl w:val="0"/>
              <w:jc w:val="center"/>
              <w:rPr>
                <w:sz w:val="20"/>
                <w:szCs w:val="20"/>
              </w:rPr>
            </w:pPr>
            <w:r>
              <w:rPr>
                <w:b/>
                <w:sz w:val="20"/>
                <w:szCs w:val="20"/>
              </w:rPr>
              <w:t>0</w:t>
            </w:r>
          </w:p>
        </w:tc>
        <w:tc>
          <w:tcPr>
            <w:tcW w:w="1500" w:type="dxa"/>
            <w:tcBorders>
              <w:top w:val="single" w:sz="6" w:space="0" w:color="CCCCCC"/>
              <w:left w:val="single" w:sz="6" w:space="0" w:color="CCCCCC"/>
              <w:bottom w:val="single" w:sz="6" w:space="0" w:color="000000"/>
              <w:right w:val="single" w:sz="6" w:space="0" w:color="000000"/>
            </w:tcBorders>
            <w:shd w:val="clear" w:color="auto" w:fill="F8DBD8"/>
            <w:tcMar>
              <w:top w:w="40" w:type="dxa"/>
              <w:left w:w="40" w:type="dxa"/>
              <w:bottom w:w="40" w:type="dxa"/>
              <w:right w:w="40" w:type="dxa"/>
            </w:tcMar>
          </w:tcPr>
          <w:p w14:paraId="00000096" w14:textId="77777777" w:rsidR="006838C7" w:rsidRDefault="002C4FA6">
            <w:pPr>
              <w:widowControl w:val="0"/>
              <w:jc w:val="center"/>
              <w:rPr>
                <w:sz w:val="20"/>
                <w:szCs w:val="20"/>
              </w:rPr>
            </w:pPr>
            <w:r>
              <w:rPr>
                <w:sz w:val="20"/>
                <w:szCs w:val="20"/>
              </w:rPr>
              <w:t>2000</w:t>
            </w:r>
          </w:p>
        </w:tc>
      </w:tr>
      <w:tr w:rsidR="006838C7" w14:paraId="173BEE34"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97" w14:textId="77777777" w:rsidR="006838C7" w:rsidRDefault="002C4FA6">
            <w:pPr>
              <w:widowControl w:val="0"/>
              <w:jc w:val="center"/>
              <w:rPr>
                <w:b/>
                <w:sz w:val="20"/>
                <w:szCs w:val="20"/>
              </w:rPr>
            </w:pPr>
            <w:r>
              <w:rPr>
                <w:b/>
                <w:sz w:val="20"/>
                <w:szCs w:val="20"/>
              </w:rPr>
              <w:t>Jiangsu</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8" w14:textId="77777777" w:rsidR="006838C7" w:rsidRDefault="002C4FA6">
            <w:pPr>
              <w:widowControl w:val="0"/>
              <w:jc w:val="center"/>
              <w:rPr>
                <w:sz w:val="20"/>
                <w:szCs w:val="20"/>
              </w:rPr>
            </w:pPr>
            <w:r>
              <w:rPr>
                <w:sz w:val="20"/>
                <w:szCs w:val="20"/>
              </w:rPr>
              <w:t>2000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9" w14:textId="77777777" w:rsidR="006838C7" w:rsidRDefault="002C4FA6">
            <w:pPr>
              <w:widowControl w:val="0"/>
              <w:jc w:val="center"/>
              <w:rPr>
                <w:sz w:val="20"/>
                <w:szCs w:val="20"/>
              </w:rPr>
            </w:pPr>
            <w:r>
              <w:rPr>
                <w:b/>
                <w:sz w:val="20"/>
                <w:szCs w:val="20"/>
              </w:rPr>
              <w:t>0</w:t>
            </w:r>
          </w:p>
        </w:tc>
        <w:tc>
          <w:tcPr>
            <w:tcW w:w="1500" w:type="dxa"/>
            <w:tcBorders>
              <w:top w:val="single" w:sz="6" w:space="0" w:color="CCCCCC"/>
              <w:left w:val="single" w:sz="6" w:space="0" w:color="CCCCCC"/>
              <w:bottom w:val="single" w:sz="6" w:space="0" w:color="000000"/>
              <w:right w:val="single" w:sz="6" w:space="0" w:color="000000"/>
            </w:tcBorders>
            <w:shd w:val="clear" w:color="auto" w:fill="F8DBD8"/>
            <w:tcMar>
              <w:top w:w="40" w:type="dxa"/>
              <w:left w:w="40" w:type="dxa"/>
              <w:bottom w:w="40" w:type="dxa"/>
              <w:right w:w="40" w:type="dxa"/>
            </w:tcMar>
          </w:tcPr>
          <w:p w14:paraId="0000009A" w14:textId="77777777" w:rsidR="006838C7" w:rsidRDefault="002C4FA6">
            <w:pPr>
              <w:widowControl w:val="0"/>
              <w:jc w:val="center"/>
              <w:rPr>
                <w:sz w:val="20"/>
                <w:szCs w:val="20"/>
              </w:rPr>
            </w:pPr>
            <w:r>
              <w:rPr>
                <w:sz w:val="20"/>
                <w:szCs w:val="20"/>
              </w:rPr>
              <w:t>2000</w:t>
            </w:r>
          </w:p>
        </w:tc>
      </w:tr>
      <w:tr w:rsidR="006838C7" w14:paraId="712E1076"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9B" w14:textId="77777777" w:rsidR="006838C7" w:rsidRDefault="002C4FA6">
            <w:pPr>
              <w:widowControl w:val="0"/>
              <w:jc w:val="center"/>
              <w:rPr>
                <w:b/>
                <w:sz w:val="20"/>
                <w:szCs w:val="20"/>
              </w:rPr>
            </w:pPr>
            <w:r>
              <w:rPr>
                <w:b/>
                <w:sz w:val="20"/>
                <w:szCs w:val="20"/>
              </w:rPr>
              <w:t>Gansu</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C" w14:textId="77777777" w:rsidR="006838C7" w:rsidRDefault="002C4FA6">
            <w:pPr>
              <w:widowControl w:val="0"/>
              <w:jc w:val="center"/>
              <w:rPr>
                <w:sz w:val="20"/>
                <w:szCs w:val="20"/>
              </w:rPr>
            </w:pPr>
            <w:r>
              <w:rPr>
                <w:sz w:val="20"/>
                <w:szCs w:val="20"/>
              </w:rPr>
              <w:t>10072</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D" w14:textId="77777777" w:rsidR="006838C7" w:rsidRDefault="002C4FA6">
            <w:pPr>
              <w:widowControl w:val="0"/>
              <w:jc w:val="center"/>
              <w:rPr>
                <w:sz w:val="20"/>
                <w:szCs w:val="20"/>
              </w:rPr>
            </w:pPr>
            <w:r>
              <w:rPr>
                <w:sz w:val="20"/>
                <w:szCs w:val="20"/>
              </w:rPr>
              <w:t>4000</w:t>
            </w:r>
          </w:p>
        </w:tc>
        <w:tc>
          <w:tcPr>
            <w:tcW w:w="1500" w:type="dxa"/>
            <w:tcBorders>
              <w:top w:val="single" w:sz="6" w:space="0" w:color="CCCCCC"/>
              <w:left w:val="single" w:sz="6" w:space="0" w:color="CCCCCC"/>
              <w:bottom w:val="single" w:sz="6" w:space="0" w:color="000000"/>
              <w:right w:val="single" w:sz="6" w:space="0" w:color="000000"/>
            </w:tcBorders>
            <w:shd w:val="clear" w:color="auto" w:fill="EA9088"/>
            <w:tcMar>
              <w:top w:w="40" w:type="dxa"/>
              <w:left w:w="40" w:type="dxa"/>
              <w:bottom w:w="40" w:type="dxa"/>
              <w:right w:w="40" w:type="dxa"/>
            </w:tcMar>
          </w:tcPr>
          <w:p w14:paraId="0000009E" w14:textId="77777777" w:rsidR="006838C7" w:rsidRDefault="002C4FA6">
            <w:pPr>
              <w:widowControl w:val="0"/>
              <w:jc w:val="center"/>
              <w:rPr>
                <w:sz w:val="20"/>
                <w:szCs w:val="20"/>
              </w:rPr>
            </w:pPr>
            <w:r>
              <w:rPr>
                <w:sz w:val="20"/>
                <w:szCs w:val="20"/>
              </w:rPr>
              <w:t>6072</w:t>
            </w:r>
          </w:p>
        </w:tc>
      </w:tr>
      <w:tr w:rsidR="006838C7" w14:paraId="0F3A7B54"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9F" w14:textId="77777777" w:rsidR="006838C7" w:rsidRDefault="002C4FA6">
            <w:pPr>
              <w:widowControl w:val="0"/>
              <w:jc w:val="center"/>
              <w:rPr>
                <w:b/>
                <w:sz w:val="20"/>
                <w:szCs w:val="20"/>
              </w:rPr>
            </w:pPr>
            <w:r>
              <w:rPr>
                <w:b/>
                <w:sz w:val="20"/>
                <w:szCs w:val="20"/>
              </w:rPr>
              <w:t>Guizhou</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0" w14:textId="77777777" w:rsidR="006838C7" w:rsidRDefault="002C4FA6">
            <w:pPr>
              <w:widowControl w:val="0"/>
              <w:jc w:val="center"/>
              <w:rPr>
                <w:sz w:val="20"/>
                <w:szCs w:val="20"/>
              </w:rPr>
            </w:pPr>
            <w:r>
              <w:rPr>
                <w:sz w:val="20"/>
                <w:szCs w:val="20"/>
              </w:rPr>
              <w:t>9920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1" w14:textId="77777777" w:rsidR="006838C7" w:rsidRDefault="002C4FA6">
            <w:pPr>
              <w:widowControl w:val="0"/>
              <w:jc w:val="center"/>
              <w:rPr>
                <w:sz w:val="20"/>
                <w:szCs w:val="20"/>
              </w:rPr>
            </w:pPr>
            <w:r>
              <w:rPr>
                <w:sz w:val="20"/>
                <w:szCs w:val="20"/>
              </w:rPr>
              <w:t>2790</w:t>
            </w:r>
          </w:p>
        </w:tc>
        <w:tc>
          <w:tcPr>
            <w:tcW w:w="1500" w:type="dxa"/>
            <w:tcBorders>
              <w:top w:val="single" w:sz="6" w:space="0" w:color="CCCCCC"/>
              <w:left w:val="single" w:sz="6" w:space="0" w:color="CCCCCC"/>
              <w:bottom w:val="single" w:sz="6" w:space="0" w:color="000000"/>
              <w:right w:val="single" w:sz="6" w:space="0" w:color="000000"/>
            </w:tcBorders>
            <w:shd w:val="clear" w:color="auto" w:fill="E67C73"/>
            <w:tcMar>
              <w:top w:w="40" w:type="dxa"/>
              <w:left w:w="40" w:type="dxa"/>
              <w:bottom w:w="40" w:type="dxa"/>
              <w:right w:w="40" w:type="dxa"/>
            </w:tcMar>
          </w:tcPr>
          <w:p w14:paraId="000000A2" w14:textId="77777777" w:rsidR="006838C7" w:rsidRDefault="002C4FA6">
            <w:pPr>
              <w:widowControl w:val="0"/>
              <w:jc w:val="center"/>
              <w:rPr>
                <w:sz w:val="20"/>
                <w:szCs w:val="20"/>
              </w:rPr>
            </w:pPr>
            <w:r>
              <w:rPr>
                <w:sz w:val="20"/>
                <w:szCs w:val="20"/>
              </w:rPr>
              <w:t>7130</w:t>
            </w:r>
          </w:p>
        </w:tc>
      </w:tr>
      <w:tr w:rsidR="006838C7" w14:paraId="5199EDC0"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A3" w14:textId="77777777" w:rsidR="006838C7" w:rsidRDefault="002C4FA6">
            <w:pPr>
              <w:widowControl w:val="0"/>
              <w:jc w:val="center"/>
              <w:rPr>
                <w:b/>
                <w:sz w:val="20"/>
                <w:szCs w:val="20"/>
              </w:rPr>
            </w:pPr>
            <w:r>
              <w:rPr>
                <w:b/>
                <w:sz w:val="20"/>
                <w:szCs w:val="20"/>
              </w:rPr>
              <w:t>Anhui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4" w14:textId="77777777" w:rsidR="006838C7" w:rsidRDefault="002C4FA6">
            <w:pPr>
              <w:widowControl w:val="0"/>
              <w:jc w:val="center"/>
              <w:rPr>
                <w:sz w:val="20"/>
                <w:szCs w:val="20"/>
              </w:rPr>
            </w:pPr>
            <w:r>
              <w:rPr>
                <w:sz w:val="20"/>
                <w:szCs w:val="20"/>
              </w:rPr>
              <w:t>6880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5"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6" w14:textId="77777777" w:rsidR="006838C7" w:rsidRDefault="002C4FA6">
            <w:pPr>
              <w:widowControl w:val="0"/>
              <w:jc w:val="center"/>
              <w:rPr>
                <w:sz w:val="20"/>
                <w:szCs w:val="20"/>
              </w:rPr>
            </w:pPr>
            <w:r>
              <w:rPr>
                <w:sz w:val="20"/>
                <w:szCs w:val="20"/>
              </w:rPr>
              <w:t>-</w:t>
            </w:r>
          </w:p>
        </w:tc>
      </w:tr>
      <w:tr w:rsidR="006838C7" w14:paraId="1942CD59"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A7" w14:textId="77777777" w:rsidR="006838C7" w:rsidRDefault="002C4FA6">
            <w:pPr>
              <w:widowControl w:val="0"/>
              <w:jc w:val="center"/>
              <w:rPr>
                <w:b/>
                <w:sz w:val="20"/>
                <w:szCs w:val="20"/>
              </w:rPr>
            </w:pPr>
            <w:r>
              <w:rPr>
                <w:b/>
                <w:sz w:val="20"/>
                <w:szCs w:val="20"/>
              </w:rPr>
              <w:lastRenderedPageBreak/>
              <w:t>Sichuan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8" w14:textId="77777777" w:rsidR="006838C7" w:rsidRDefault="002C4FA6">
            <w:pPr>
              <w:widowControl w:val="0"/>
              <w:jc w:val="center"/>
              <w:rPr>
                <w:sz w:val="20"/>
                <w:szCs w:val="20"/>
              </w:rPr>
            </w:pPr>
            <w:r>
              <w:rPr>
                <w:sz w:val="20"/>
                <w:szCs w:val="20"/>
              </w:rPr>
              <w:t>4000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9"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A" w14:textId="77777777" w:rsidR="006838C7" w:rsidRDefault="002C4FA6">
            <w:pPr>
              <w:widowControl w:val="0"/>
              <w:jc w:val="center"/>
              <w:rPr>
                <w:sz w:val="20"/>
                <w:szCs w:val="20"/>
              </w:rPr>
            </w:pPr>
            <w:r>
              <w:rPr>
                <w:sz w:val="20"/>
                <w:szCs w:val="20"/>
              </w:rPr>
              <w:t>-</w:t>
            </w:r>
          </w:p>
        </w:tc>
      </w:tr>
      <w:tr w:rsidR="006838C7" w14:paraId="32CC86B5"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AB" w14:textId="77777777" w:rsidR="006838C7" w:rsidRDefault="002C4FA6">
            <w:pPr>
              <w:widowControl w:val="0"/>
              <w:jc w:val="center"/>
              <w:rPr>
                <w:b/>
                <w:sz w:val="20"/>
                <w:szCs w:val="20"/>
              </w:rPr>
            </w:pPr>
            <w:r>
              <w:rPr>
                <w:b/>
                <w:sz w:val="20"/>
                <w:szCs w:val="20"/>
              </w:rPr>
              <w:t>Inner Mongolia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C" w14:textId="77777777" w:rsidR="006838C7" w:rsidRDefault="002C4FA6">
            <w:pPr>
              <w:widowControl w:val="0"/>
              <w:jc w:val="center"/>
              <w:rPr>
                <w:sz w:val="20"/>
                <w:szCs w:val="20"/>
              </w:rPr>
            </w:pPr>
            <w:r>
              <w:rPr>
                <w:sz w:val="20"/>
                <w:szCs w:val="20"/>
              </w:rPr>
              <w:t>2020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D"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E" w14:textId="77777777" w:rsidR="006838C7" w:rsidRDefault="002C4FA6">
            <w:pPr>
              <w:widowControl w:val="0"/>
              <w:jc w:val="center"/>
              <w:rPr>
                <w:sz w:val="20"/>
                <w:szCs w:val="20"/>
              </w:rPr>
            </w:pPr>
            <w:r>
              <w:rPr>
                <w:sz w:val="20"/>
                <w:szCs w:val="20"/>
              </w:rPr>
              <w:t>-</w:t>
            </w:r>
          </w:p>
        </w:tc>
      </w:tr>
      <w:tr w:rsidR="006838C7" w14:paraId="6B588A25"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AF" w14:textId="77777777" w:rsidR="006838C7" w:rsidRDefault="002C4FA6">
            <w:pPr>
              <w:widowControl w:val="0"/>
              <w:jc w:val="center"/>
              <w:rPr>
                <w:b/>
                <w:sz w:val="20"/>
                <w:szCs w:val="20"/>
              </w:rPr>
            </w:pPr>
            <w:r>
              <w:rPr>
                <w:b/>
                <w:sz w:val="20"/>
                <w:szCs w:val="20"/>
              </w:rPr>
              <w:t>Hubei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0" w14:textId="77777777" w:rsidR="006838C7" w:rsidRDefault="002C4FA6">
            <w:pPr>
              <w:widowControl w:val="0"/>
              <w:jc w:val="center"/>
              <w:rPr>
                <w:sz w:val="20"/>
                <w:szCs w:val="20"/>
              </w:rPr>
            </w:pPr>
            <w:r>
              <w:rPr>
                <w:sz w:val="20"/>
                <w:szCs w:val="20"/>
              </w:rPr>
              <w:t>2000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1"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2" w14:textId="77777777" w:rsidR="006838C7" w:rsidRDefault="002C4FA6">
            <w:pPr>
              <w:widowControl w:val="0"/>
              <w:jc w:val="center"/>
              <w:rPr>
                <w:sz w:val="20"/>
                <w:szCs w:val="20"/>
              </w:rPr>
            </w:pPr>
            <w:r>
              <w:rPr>
                <w:sz w:val="20"/>
                <w:szCs w:val="20"/>
              </w:rPr>
              <w:t>-</w:t>
            </w:r>
          </w:p>
        </w:tc>
      </w:tr>
      <w:tr w:rsidR="006838C7" w14:paraId="3EB896B7"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B3" w14:textId="77777777" w:rsidR="006838C7" w:rsidRDefault="002C4FA6">
            <w:pPr>
              <w:widowControl w:val="0"/>
              <w:jc w:val="center"/>
              <w:rPr>
                <w:sz w:val="20"/>
                <w:szCs w:val="20"/>
              </w:rPr>
            </w:pPr>
            <w:r>
              <w:rPr>
                <w:b/>
                <w:sz w:val="20"/>
                <w:szCs w:val="20"/>
              </w:rPr>
              <w:t>Hainan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4" w14:textId="77777777" w:rsidR="006838C7" w:rsidRDefault="002C4FA6">
            <w:pPr>
              <w:widowControl w:val="0"/>
              <w:jc w:val="center"/>
              <w:rPr>
                <w:sz w:val="20"/>
                <w:szCs w:val="20"/>
              </w:rPr>
            </w:pPr>
            <w:r>
              <w:rPr>
                <w:b/>
                <w:sz w:val="20"/>
                <w:szCs w:val="20"/>
              </w:rPr>
              <w:t>0</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5"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6" w14:textId="77777777" w:rsidR="006838C7" w:rsidRDefault="002C4FA6">
            <w:pPr>
              <w:widowControl w:val="0"/>
              <w:jc w:val="center"/>
              <w:rPr>
                <w:sz w:val="20"/>
                <w:szCs w:val="20"/>
              </w:rPr>
            </w:pPr>
            <w:r>
              <w:rPr>
                <w:sz w:val="20"/>
                <w:szCs w:val="20"/>
              </w:rPr>
              <w:t>-</w:t>
            </w:r>
          </w:p>
        </w:tc>
      </w:tr>
      <w:tr w:rsidR="006838C7" w14:paraId="4A7ACC43"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B7" w14:textId="77777777" w:rsidR="006838C7" w:rsidRDefault="002C4FA6">
            <w:pPr>
              <w:widowControl w:val="0"/>
              <w:jc w:val="center"/>
              <w:rPr>
                <w:sz w:val="20"/>
                <w:szCs w:val="20"/>
              </w:rPr>
            </w:pPr>
            <w:r>
              <w:rPr>
                <w:b/>
                <w:sz w:val="20"/>
                <w:szCs w:val="20"/>
              </w:rPr>
              <w:t>Tibet</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8" w14:textId="77777777" w:rsidR="006838C7" w:rsidRDefault="002C4FA6">
            <w:pPr>
              <w:widowControl w:val="0"/>
              <w:jc w:val="center"/>
              <w:rPr>
                <w:sz w:val="20"/>
                <w:szCs w:val="20"/>
              </w:rPr>
            </w:pPr>
            <w:r>
              <w:rPr>
                <w:sz w:val="20"/>
                <w:szCs w:val="20"/>
              </w:rPr>
              <w:t>No Statistics</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9"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A" w14:textId="77777777" w:rsidR="006838C7" w:rsidRDefault="002C4FA6">
            <w:pPr>
              <w:widowControl w:val="0"/>
              <w:jc w:val="center"/>
              <w:rPr>
                <w:sz w:val="20"/>
                <w:szCs w:val="20"/>
              </w:rPr>
            </w:pPr>
            <w:r>
              <w:rPr>
                <w:sz w:val="20"/>
                <w:szCs w:val="20"/>
              </w:rPr>
              <w:t>-</w:t>
            </w:r>
          </w:p>
        </w:tc>
      </w:tr>
      <w:tr w:rsidR="006838C7" w14:paraId="63FB01C0" w14:textId="77777777">
        <w:trPr>
          <w:trHeight w:val="360"/>
        </w:trPr>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0000BB" w14:textId="77777777" w:rsidR="006838C7" w:rsidRDefault="002C4FA6">
            <w:pPr>
              <w:widowControl w:val="0"/>
              <w:jc w:val="center"/>
              <w:rPr>
                <w:sz w:val="20"/>
                <w:szCs w:val="20"/>
              </w:rPr>
            </w:pPr>
            <w:r>
              <w:rPr>
                <w:b/>
                <w:sz w:val="20"/>
                <w:szCs w:val="20"/>
              </w:rPr>
              <w:t>Qinghai</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C" w14:textId="77777777" w:rsidR="006838C7" w:rsidRDefault="002C4FA6">
            <w:pPr>
              <w:widowControl w:val="0"/>
              <w:jc w:val="center"/>
              <w:rPr>
                <w:sz w:val="20"/>
                <w:szCs w:val="20"/>
              </w:rPr>
            </w:pPr>
            <w:r>
              <w:rPr>
                <w:sz w:val="20"/>
                <w:szCs w:val="20"/>
              </w:rPr>
              <w:t>No Statistics</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D"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BE" w14:textId="77777777" w:rsidR="006838C7" w:rsidRDefault="002C4FA6">
            <w:pPr>
              <w:widowControl w:val="0"/>
              <w:jc w:val="center"/>
              <w:rPr>
                <w:sz w:val="20"/>
                <w:szCs w:val="20"/>
              </w:rPr>
            </w:pPr>
            <w:r>
              <w:rPr>
                <w:sz w:val="20"/>
                <w:szCs w:val="20"/>
              </w:rPr>
              <w:t>-</w:t>
            </w:r>
          </w:p>
        </w:tc>
      </w:tr>
      <w:tr w:rsidR="006838C7" w14:paraId="2F7F13AB" w14:textId="77777777">
        <w:trPr>
          <w:trHeight w:val="360"/>
        </w:trPr>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0000BF" w14:textId="77777777" w:rsidR="006838C7" w:rsidRDefault="002C4FA6">
            <w:pPr>
              <w:widowControl w:val="0"/>
              <w:jc w:val="center"/>
              <w:rPr>
                <w:sz w:val="20"/>
                <w:szCs w:val="20"/>
              </w:rPr>
            </w:pPr>
            <w:r>
              <w:rPr>
                <w:b/>
                <w:sz w:val="20"/>
                <w:szCs w:val="20"/>
              </w:rPr>
              <w:t>Jilin</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0" w14:textId="77777777" w:rsidR="006838C7" w:rsidRDefault="002C4FA6">
            <w:pPr>
              <w:widowControl w:val="0"/>
              <w:jc w:val="center"/>
              <w:rPr>
                <w:sz w:val="20"/>
                <w:szCs w:val="20"/>
              </w:rPr>
            </w:pPr>
            <w:r>
              <w:rPr>
                <w:sz w:val="20"/>
                <w:szCs w:val="20"/>
              </w:rPr>
              <w:t>No Statistics</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1"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2" w14:textId="77777777" w:rsidR="006838C7" w:rsidRDefault="002C4FA6">
            <w:pPr>
              <w:widowControl w:val="0"/>
              <w:jc w:val="center"/>
              <w:rPr>
                <w:sz w:val="20"/>
                <w:szCs w:val="20"/>
              </w:rPr>
            </w:pPr>
            <w:r>
              <w:rPr>
                <w:sz w:val="20"/>
                <w:szCs w:val="20"/>
              </w:rPr>
              <w:t>-</w:t>
            </w:r>
          </w:p>
        </w:tc>
      </w:tr>
      <w:tr w:rsidR="006838C7" w14:paraId="392256B2" w14:textId="77777777">
        <w:trPr>
          <w:trHeight w:val="360"/>
        </w:trPr>
        <w:tc>
          <w:tcPr>
            <w:tcW w:w="15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00000C3" w14:textId="77777777" w:rsidR="006838C7" w:rsidRDefault="002C4FA6">
            <w:pPr>
              <w:widowControl w:val="0"/>
              <w:jc w:val="center"/>
              <w:rPr>
                <w:sz w:val="20"/>
                <w:szCs w:val="20"/>
              </w:rPr>
            </w:pPr>
            <w:r>
              <w:rPr>
                <w:b/>
                <w:sz w:val="20"/>
                <w:szCs w:val="20"/>
              </w:rPr>
              <w:t>Heilongjiang</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4" w14:textId="77777777" w:rsidR="006838C7" w:rsidRDefault="002C4FA6">
            <w:pPr>
              <w:widowControl w:val="0"/>
              <w:jc w:val="center"/>
              <w:rPr>
                <w:sz w:val="20"/>
                <w:szCs w:val="20"/>
              </w:rPr>
            </w:pPr>
            <w:r>
              <w:rPr>
                <w:sz w:val="20"/>
                <w:szCs w:val="20"/>
              </w:rPr>
              <w:t>No Statistics</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5" w14:textId="77777777" w:rsidR="006838C7" w:rsidRDefault="002C4FA6">
            <w:pPr>
              <w:widowControl w:val="0"/>
              <w:jc w:val="center"/>
              <w:rPr>
                <w:sz w:val="20"/>
                <w:szCs w:val="20"/>
              </w:rPr>
            </w:pPr>
            <w:r>
              <w:rPr>
                <w:sz w:val="20"/>
                <w:szCs w:val="20"/>
              </w:rPr>
              <w:t>No Statistics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6" w14:textId="77777777" w:rsidR="006838C7" w:rsidRDefault="002C4FA6">
            <w:pPr>
              <w:widowControl w:val="0"/>
              <w:jc w:val="center"/>
              <w:rPr>
                <w:sz w:val="20"/>
                <w:szCs w:val="20"/>
              </w:rPr>
            </w:pPr>
            <w:r>
              <w:rPr>
                <w:sz w:val="20"/>
                <w:szCs w:val="20"/>
              </w:rPr>
              <w:t>-</w:t>
            </w:r>
          </w:p>
        </w:tc>
      </w:tr>
      <w:tr w:rsidR="006838C7" w14:paraId="7564C0C1" w14:textId="77777777">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C7" w14:textId="77777777" w:rsidR="006838C7" w:rsidRDefault="002C4FA6">
            <w:pPr>
              <w:widowControl w:val="0"/>
              <w:jc w:val="center"/>
              <w:rPr>
                <w:sz w:val="20"/>
                <w:szCs w:val="20"/>
              </w:rPr>
            </w:pPr>
            <w:r>
              <w:rPr>
                <w:b/>
                <w:sz w:val="20"/>
                <w:szCs w:val="20"/>
              </w:rPr>
              <w:t>Total</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8" w14:textId="77777777" w:rsidR="006838C7" w:rsidRDefault="002C4FA6">
            <w:pPr>
              <w:widowControl w:val="0"/>
              <w:jc w:val="center"/>
              <w:rPr>
                <w:sz w:val="20"/>
                <w:szCs w:val="20"/>
              </w:rPr>
            </w:pPr>
            <w:r>
              <w:rPr>
                <w:sz w:val="20"/>
                <w:szCs w:val="20"/>
              </w:rPr>
              <w:t>104765</w:t>
            </w:r>
          </w:p>
        </w:tc>
        <w:tc>
          <w:tcPr>
            <w:tcW w:w="15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9" w14:textId="77777777" w:rsidR="006838C7" w:rsidRDefault="002C4FA6">
            <w:pPr>
              <w:widowControl w:val="0"/>
              <w:jc w:val="center"/>
              <w:rPr>
                <w:sz w:val="20"/>
                <w:szCs w:val="20"/>
              </w:rPr>
            </w:pPr>
            <w:r>
              <w:rPr>
                <w:sz w:val="20"/>
                <w:szCs w:val="20"/>
              </w:rPr>
              <w:t>86660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CA" w14:textId="77777777" w:rsidR="006838C7" w:rsidRDefault="002C4FA6">
            <w:pPr>
              <w:widowControl w:val="0"/>
              <w:jc w:val="center"/>
              <w:rPr>
                <w:sz w:val="20"/>
                <w:szCs w:val="20"/>
              </w:rPr>
            </w:pPr>
            <w:r>
              <w:rPr>
                <w:sz w:val="20"/>
                <w:szCs w:val="20"/>
              </w:rPr>
              <w:t>-</w:t>
            </w:r>
          </w:p>
        </w:tc>
      </w:tr>
    </w:tbl>
    <w:p w14:paraId="000000CB" w14:textId="77777777" w:rsidR="006838C7" w:rsidRDefault="002C4FA6">
      <w:r>
        <w:rPr>
          <w:b/>
        </w:rPr>
        <w:t>Table 1</w:t>
      </w:r>
      <w:r>
        <w:t>. Comparison of key project lists in 2021 and 2020 by province.</w:t>
      </w:r>
    </w:p>
    <w:p w14:paraId="000000CC" w14:textId="77777777" w:rsidR="006838C7" w:rsidRDefault="002C4FA6">
      <w:r>
        <w:t xml:space="preserve">Three provinces -- Yunnan, Guangxi, and Jiangsu -- included coal power projects this year but did not in 2020. </w:t>
      </w:r>
    </w:p>
    <w:p w14:paraId="000000CD" w14:textId="77777777" w:rsidR="006838C7" w:rsidRDefault="006838C7"/>
    <w:p w14:paraId="000000CE" w14:textId="77777777" w:rsidR="006838C7" w:rsidRDefault="002C4FA6">
      <w:r>
        <w:t>Two provinces -- Shandong and Zhejiang -- included coal power projects in their</w:t>
      </w:r>
      <w:r>
        <w:t xml:space="preserve"> key projects list in 2020 but not in 2021. </w:t>
      </w:r>
    </w:p>
    <w:p w14:paraId="000000CF" w14:textId="77777777" w:rsidR="006838C7" w:rsidRDefault="002C4FA6">
      <w:r>
        <w:pict w14:anchorId="38AF4ADA">
          <v:rect id="_x0000_i1027" style="width:0;height:1.5pt" o:hralign="center" o:hrstd="t" o:hr="t" fillcolor="#a0a0a0" stroked="f"/>
        </w:pict>
      </w:r>
    </w:p>
    <w:p w14:paraId="000000D0" w14:textId="77777777" w:rsidR="006838C7" w:rsidRDefault="006838C7"/>
    <w:p w14:paraId="000000D1" w14:textId="77777777" w:rsidR="006838C7" w:rsidRDefault="002C4FA6">
      <w:pPr>
        <w:rPr>
          <w:b/>
        </w:rPr>
      </w:pPr>
      <w:r>
        <w:rPr>
          <w:b/>
        </w:rPr>
        <w:t>Policy suggestions</w:t>
      </w:r>
    </w:p>
    <w:p w14:paraId="000000D2" w14:textId="77777777" w:rsidR="006838C7" w:rsidRDefault="006838C7">
      <w:pPr>
        <w:rPr>
          <w:b/>
        </w:rPr>
      </w:pPr>
    </w:p>
    <w:p w14:paraId="000000D3" w14:textId="77777777" w:rsidR="006838C7" w:rsidRDefault="006838C7">
      <w:pPr>
        <w:rPr>
          <w:b/>
        </w:rPr>
      </w:pPr>
    </w:p>
    <w:p w14:paraId="000000D4" w14:textId="77777777" w:rsidR="006838C7" w:rsidRDefault="002C4FA6">
      <w:r>
        <w:t xml:space="preserve">2021 is the first year of the 14th five-year plan, and the first half of this year has shown a </w:t>
      </w:r>
      <w:proofErr w:type="gramStart"/>
      <w:r>
        <w:t>more strict</w:t>
      </w:r>
      <w:proofErr w:type="gramEnd"/>
      <w:r>
        <w:t xml:space="preserve"> standard for coal-fired power project approval. At present, the majority of coal</w:t>
      </w:r>
      <w:r>
        <w:t>-fired power projects are coming from coal-dependent provinces, which need closer attention and follow up from the central government. Greenpeace makes the following recommendations:</w:t>
      </w:r>
    </w:p>
    <w:p w14:paraId="000000D5" w14:textId="77777777" w:rsidR="006838C7" w:rsidRDefault="006838C7"/>
    <w:p w14:paraId="000000D6" w14:textId="77777777" w:rsidR="006838C7" w:rsidRDefault="002C4FA6">
      <w:pPr>
        <w:numPr>
          <w:ilvl w:val="0"/>
          <w:numId w:val="2"/>
        </w:numPr>
      </w:pPr>
      <w:r>
        <w:t>Focus on coal-dependent provinces, which are continuing to push coal pow</w:t>
      </w:r>
      <w:r>
        <w:t xml:space="preserve">er projects on a large scale -- especially Shaanxi Province -- and set up an early warning system after conducting scientific assessment of the installed coal power reserve and provincial power </w:t>
      </w:r>
      <w:proofErr w:type="gramStart"/>
      <w:r>
        <w:t>sufficiency;</w:t>
      </w:r>
      <w:proofErr w:type="gramEnd"/>
    </w:p>
    <w:p w14:paraId="000000D7" w14:textId="77777777" w:rsidR="006838C7" w:rsidRDefault="002C4FA6">
      <w:pPr>
        <w:numPr>
          <w:ilvl w:val="0"/>
          <w:numId w:val="2"/>
        </w:numPr>
      </w:pPr>
      <w:r>
        <w:t>Provincial governments should strictly control co</w:t>
      </w:r>
      <w:r>
        <w:t xml:space="preserve">al-fired power plants, stop turning to the coal industry as the first option to increase power generation capacity, and look to domestic and foreign energy transition cases. Provinces should give priority to sustainable energy sectors to realize </w:t>
      </w:r>
      <w:proofErr w:type="gramStart"/>
      <w:r>
        <w:t>decarboniz</w:t>
      </w:r>
      <w:r>
        <w:t>ation;</w:t>
      </w:r>
      <w:proofErr w:type="gramEnd"/>
    </w:p>
    <w:p w14:paraId="000000D8" w14:textId="77777777" w:rsidR="006838C7" w:rsidRDefault="002C4FA6">
      <w:pPr>
        <w:numPr>
          <w:ilvl w:val="0"/>
          <w:numId w:val="2"/>
        </w:numPr>
      </w:pPr>
      <w:r>
        <w:t xml:space="preserve">Provincial governments should look to green production capacity investment options to develop new energy power systems and invest in research on decarbonizing energy systems in their local context. </w:t>
      </w:r>
    </w:p>
    <w:sectPr w:rsidR="006838C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2AB6" w14:textId="77777777" w:rsidR="002C4FA6" w:rsidRDefault="002C4FA6">
      <w:pPr>
        <w:spacing w:line="240" w:lineRule="auto"/>
      </w:pPr>
      <w:r>
        <w:separator/>
      </w:r>
    </w:p>
  </w:endnote>
  <w:endnote w:type="continuationSeparator" w:id="0">
    <w:p w14:paraId="0DD92D4F" w14:textId="77777777" w:rsidR="002C4FA6" w:rsidRDefault="002C4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E08E" w14:textId="77777777" w:rsidR="002C4FA6" w:rsidRDefault="002C4FA6">
      <w:pPr>
        <w:spacing w:line="240" w:lineRule="auto"/>
      </w:pPr>
      <w:r>
        <w:separator/>
      </w:r>
    </w:p>
  </w:footnote>
  <w:footnote w:type="continuationSeparator" w:id="0">
    <w:p w14:paraId="6860EE7C" w14:textId="77777777" w:rsidR="002C4FA6" w:rsidRDefault="002C4FA6">
      <w:pPr>
        <w:spacing w:line="240" w:lineRule="auto"/>
      </w:pPr>
      <w:r>
        <w:continuationSeparator/>
      </w:r>
    </w:p>
  </w:footnote>
  <w:footnote w:id="1">
    <w:p w14:paraId="000000E5"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National Energy Administration. </w:t>
      </w:r>
      <w:r>
        <w:rPr>
          <w:rFonts w:ascii="Arial Unicode MS" w:eastAsia="Arial Unicode MS" w:hAnsi="Arial Unicode MS" w:cs="Arial Unicode MS"/>
          <w:sz w:val="20"/>
          <w:szCs w:val="20"/>
        </w:rPr>
        <w:t>打赢低碳转型硬仗</w:t>
      </w:r>
      <w:r>
        <w:rPr>
          <w:rFonts w:ascii="Arial Unicode MS" w:eastAsia="Arial Unicode MS" w:hAnsi="Arial Unicode MS" w:cs="Arial Unicode MS"/>
          <w:sz w:val="20"/>
          <w:szCs w:val="20"/>
        </w:rPr>
        <w:t>. April 2021. http://www.nea.gov.cn/2021-04/09/c_139869435.htm</w:t>
      </w:r>
    </w:p>
  </w:footnote>
  <w:footnote w:id="2">
    <w:p w14:paraId="000000D9" w14:textId="77777777" w:rsidR="006838C7" w:rsidRDefault="002C4FA6">
      <w:pPr>
        <w:spacing w:line="240" w:lineRule="auto"/>
        <w:rPr>
          <w:sz w:val="20"/>
          <w:szCs w:val="20"/>
        </w:rPr>
      </w:pPr>
      <w:r>
        <w:rPr>
          <w:vertAlign w:val="superscript"/>
        </w:rPr>
        <w:footnoteRef/>
      </w:r>
      <w:r>
        <w:rPr>
          <w:sz w:val="20"/>
          <w:szCs w:val="20"/>
        </w:rPr>
        <w:t>Including publicly available information from the Development and Reform Commissions of the whole country on project approvals, and information from the online approval and supervision platform for investment</w:t>
      </w:r>
      <w:r>
        <w:rPr>
          <w:sz w:val="20"/>
          <w:szCs w:val="20"/>
        </w:rPr>
        <w:t xml:space="preserve"> projects.</w:t>
      </w:r>
    </w:p>
  </w:footnote>
  <w:footnote w:id="3">
    <w:p w14:paraId="000000DA" w14:textId="77777777" w:rsidR="006838C7" w:rsidRDefault="002C4FA6">
      <w:pPr>
        <w:spacing w:line="240" w:lineRule="auto"/>
        <w:rPr>
          <w:sz w:val="20"/>
          <w:szCs w:val="20"/>
        </w:rPr>
      </w:pPr>
      <w:r>
        <w:rPr>
          <w:vertAlign w:val="superscript"/>
        </w:rPr>
        <w:footnoteRef/>
      </w:r>
      <w:r>
        <w:rPr>
          <w:sz w:val="20"/>
          <w:szCs w:val="20"/>
        </w:rPr>
        <w:t xml:space="preserve"> 1 GW = 1000 MW</w:t>
      </w:r>
    </w:p>
  </w:footnote>
  <w:footnote w:id="4">
    <w:p w14:paraId="000000DB"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The Central People’s Government of the People’s Republic of China. </w:t>
      </w:r>
      <w:r>
        <w:rPr>
          <w:rFonts w:ascii="Arial Unicode MS" w:eastAsia="Arial Unicode MS" w:hAnsi="Arial Unicode MS" w:cs="Arial Unicode MS"/>
          <w:sz w:val="20"/>
          <w:szCs w:val="20"/>
        </w:rPr>
        <w:t>西电东送：资源优势转为经济优势实现东西部共赢</w:t>
      </w:r>
      <w:r>
        <w:rPr>
          <w:rFonts w:ascii="Arial Unicode MS" w:eastAsia="Arial Unicode MS" w:hAnsi="Arial Unicode MS" w:cs="Arial Unicode MS"/>
          <w:sz w:val="20"/>
          <w:szCs w:val="20"/>
        </w:rPr>
        <w:t>. 2008 November. http://www.gov.cn/jrzg/2008-11/15/content_1149889.htm</w:t>
      </w:r>
    </w:p>
  </w:footnote>
  <w:footnote w:id="5">
    <w:p w14:paraId="000000DC"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中煤新集能源股份有限公司董事会</w:t>
      </w:r>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新集能源关于控股子公司二期项目获得核准批复的公告</w:t>
      </w:r>
      <w:r>
        <w:rPr>
          <w:rFonts w:ascii="Arial Unicode MS" w:eastAsia="Arial Unicode MS" w:hAnsi="Arial Unicode MS" w:cs="Arial Unicode MS"/>
          <w:sz w:val="20"/>
          <w:szCs w:val="20"/>
        </w:rPr>
        <w:t>. 2021 January. https:/</w:t>
      </w:r>
      <w:r>
        <w:rPr>
          <w:rFonts w:ascii="Arial Unicode MS" w:eastAsia="Arial Unicode MS" w:hAnsi="Arial Unicode MS" w:cs="Arial Unicode MS"/>
          <w:sz w:val="20"/>
          <w:szCs w:val="20"/>
        </w:rPr>
        <w:t xml:space="preserve">/pdf.dfcfw.com/pdf/H2_AN202101291455658739_1.pdf?1611935095000.pdf </w:t>
      </w:r>
    </w:p>
  </w:footnote>
  <w:footnote w:id="6">
    <w:p w14:paraId="000000DD"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Bjx.Com.Cn</w:t>
      </w:r>
      <w:proofErr w:type="spellEnd"/>
      <w:r>
        <w:rPr>
          <w:rFonts w:ascii="Arial Unicode MS" w:eastAsia="Arial Unicode MS" w:hAnsi="Arial Unicode MS" w:cs="Arial Unicode MS"/>
          <w:sz w:val="20"/>
          <w:szCs w:val="20"/>
        </w:rPr>
        <w:t>. 660MW</w:t>
      </w:r>
      <w:r>
        <w:rPr>
          <w:rFonts w:ascii="Arial Unicode MS" w:eastAsia="Arial Unicode MS" w:hAnsi="Arial Unicode MS" w:cs="Arial Unicode MS"/>
          <w:sz w:val="20"/>
          <w:szCs w:val="20"/>
        </w:rPr>
        <w:t>！神木神信电厂首台机组获得核准批复</w:t>
      </w:r>
      <w:r>
        <w:rPr>
          <w:rFonts w:ascii="Arial Unicode MS" w:eastAsia="Arial Unicode MS" w:hAnsi="Arial Unicode MS" w:cs="Arial Unicode MS"/>
          <w:sz w:val="20"/>
          <w:szCs w:val="20"/>
        </w:rPr>
        <w:t>. 2021 April.</w:t>
      </w:r>
    </w:p>
    <w:p w14:paraId="000000DE" w14:textId="77777777" w:rsidR="006838C7" w:rsidRDefault="002C4FA6">
      <w:pPr>
        <w:spacing w:line="240" w:lineRule="auto"/>
        <w:rPr>
          <w:sz w:val="20"/>
          <w:szCs w:val="20"/>
        </w:rPr>
      </w:pPr>
      <w:r>
        <w:rPr>
          <w:sz w:val="20"/>
          <w:szCs w:val="20"/>
        </w:rPr>
        <w:t xml:space="preserve"> https://news.bjx.com.cn/html/20210429/1150123.shtml</w:t>
      </w:r>
    </w:p>
  </w:footnote>
  <w:footnote w:id="7">
    <w:p w14:paraId="000000DF"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The Central People’s Government of the People’s Republic of China. </w:t>
      </w:r>
      <w:r>
        <w:rPr>
          <w:rFonts w:ascii="Arial Unicode MS" w:eastAsia="Arial Unicode MS" w:hAnsi="Arial Unicode MS" w:cs="Arial Unicode MS"/>
          <w:sz w:val="20"/>
          <w:szCs w:val="20"/>
        </w:rPr>
        <w:t>习近平出席领导人气候峰会并发表重要讲话</w:t>
      </w:r>
      <w:r>
        <w:rPr>
          <w:rFonts w:ascii="Arial Unicode MS" w:eastAsia="Arial Unicode MS" w:hAnsi="Arial Unicode MS" w:cs="Arial Unicode MS"/>
          <w:sz w:val="20"/>
          <w:szCs w:val="20"/>
        </w:rPr>
        <w:t>. 2021</w:t>
      </w:r>
      <w:r>
        <w:rPr>
          <w:rFonts w:ascii="Arial Unicode MS" w:eastAsia="Arial Unicode MS" w:hAnsi="Arial Unicode MS" w:cs="Arial Unicode MS"/>
          <w:sz w:val="20"/>
          <w:szCs w:val="20"/>
        </w:rPr>
        <w:t>年</w:t>
      </w:r>
      <w:r>
        <w:rPr>
          <w:rFonts w:ascii="Arial Unicode MS" w:eastAsia="Arial Unicode MS" w:hAnsi="Arial Unicode MS" w:cs="Arial Unicode MS"/>
          <w:sz w:val="20"/>
          <w:szCs w:val="20"/>
        </w:rPr>
        <w:t>4</w:t>
      </w:r>
      <w:r>
        <w:rPr>
          <w:rFonts w:ascii="Arial Unicode MS" w:eastAsia="Arial Unicode MS" w:hAnsi="Arial Unicode MS" w:cs="Arial Unicode MS"/>
          <w:sz w:val="20"/>
          <w:szCs w:val="20"/>
        </w:rPr>
        <w:t>月</w:t>
      </w:r>
      <w:r>
        <w:rPr>
          <w:rFonts w:ascii="Arial Unicode MS" w:eastAsia="Arial Unicode MS" w:hAnsi="Arial Unicode MS" w:cs="Arial Unicode MS"/>
          <w:sz w:val="20"/>
          <w:szCs w:val="20"/>
        </w:rPr>
        <w:t>. http://www.gov.cn/xinwen/2021-04/22/content_5601535.htm</w:t>
      </w:r>
    </w:p>
  </w:footnote>
  <w:footnote w:id="8">
    <w:p w14:paraId="000000E0" w14:textId="77777777" w:rsidR="006838C7" w:rsidRDefault="002C4FA6">
      <w:pPr>
        <w:spacing w:line="240" w:lineRule="auto"/>
        <w:rPr>
          <w:sz w:val="20"/>
          <w:szCs w:val="20"/>
        </w:rPr>
      </w:pPr>
      <w:r>
        <w:rPr>
          <w:vertAlign w:val="superscript"/>
        </w:rPr>
        <w:footnoteRef/>
      </w:r>
      <w:r>
        <w:rPr>
          <w:sz w:val="20"/>
          <w:szCs w:val="20"/>
        </w:rPr>
        <w:t xml:space="preserve"> Excluding Tibet, Qinghai, Jilin, and Heilongjiang</w:t>
      </w:r>
    </w:p>
  </w:footnote>
  <w:footnote w:id="9">
    <w:p w14:paraId="000000E1"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Guangzhou Municipal Industry and Information Te</w:t>
      </w:r>
      <w:r>
        <w:rPr>
          <w:rFonts w:ascii="Arial Unicode MS" w:eastAsia="Arial Unicode MS" w:hAnsi="Arial Unicode MS" w:cs="Arial Unicode MS"/>
          <w:sz w:val="20"/>
          <w:szCs w:val="20"/>
        </w:rPr>
        <w:t xml:space="preserve">chnology Bureau. </w:t>
      </w:r>
      <w:r>
        <w:rPr>
          <w:rFonts w:ascii="Arial Unicode MS" w:eastAsia="Arial Unicode MS" w:hAnsi="Arial Unicode MS" w:cs="Arial Unicode MS"/>
          <w:sz w:val="20"/>
          <w:szCs w:val="20"/>
        </w:rPr>
        <w:t>广州市工业和信息化局关于</w:t>
      </w:r>
      <w:r>
        <w:rPr>
          <w:rFonts w:ascii="Arial Unicode MS" w:eastAsia="Arial Unicode MS" w:hAnsi="Arial Unicode MS" w:cs="Arial Unicode MS"/>
          <w:sz w:val="20"/>
          <w:szCs w:val="20"/>
        </w:rPr>
        <w:t>2021</w:t>
      </w:r>
      <w:r>
        <w:rPr>
          <w:rFonts w:ascii="Arial Unicode MS" w:eastAsia="Arial Unicode MS" w:hAnsi="Arial Unicode MS" w:cs="Arial Unicode MS"/>
          <w:sz w:val="20"/>
          <w:szCs w:val="20"/>
        </w:rPr>
        <w:t>年广州市有序用电方案的批复</w:t>
      </w:r>
      <w:r>
        <w:rPr>
          <w:rFonts w:ascii="Arial Unicode MS" w:eastAsia="Arial Unicode MS" w:hAnsi="Arial Unicode MS" w:cs="Arial Unicode MS"/>
          <w:sz w:val="20"/>
          <w:szCs w:val="20"/>
        </w:rPr>
        <w:t>. 2021 May. http://gxj.gz.gov.cn/yw/tzgg/content/post_7273230.html</w:t>
      </w:r>
    </w:p>
  </w:footnote>
  <w:footnote w:id="10">
    <w:p w14:paraId="000000E2"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w:t>
      </w:r>
      <w:proofErr w:type="spellStart"/>
      <w:proofErr w:type="gramStart"/>
      <w:r>
        <w:rPr>
          <w:rFonts w:ascii="Arial Unicode MS" w:eastAsia="Arial Unicode MS" w:hAnsi="Arial Unicode MS" w:cs="Arial Unicode MS"/>
          <w:sz w:val="20"/>
          <w:szCs w:val="20"/>
        </w:rPr>
        <w:t>Shoudian.Bjx.Com.Cn</w:t>
      </w:r>
      <w:proofErr w:type="spellEnd"/>
      <w:proofErr w:type="gramEnd"/>
      <w:r>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云南省能源局批复：进一步扩大云南电网有序用电规模</w:t>
      </w:r>
      <w:r>
        <w:rPr>
          <w:rFonts w:ascii="Arial Unicode MS" w:eastAsia="Arial Unicode MS" w:hAnsi="Arial Unicode MS" w:cs="Arial Unicode MS"/>
          <w:sz w:val="20"/>
          <w:szCs w:val="20"/>
        </w:rPr>
        <w:t>. 2021 June. https://shoudian.bjx.com.cn/html/20210610/1157553.shtml</w:t>
      </w:r>
    </w:p>
  </w:footnote>
  <w:footnote w:id="11">
    <w:p w14:paraId="000000E3" w14:textId="77777777" w:rsidR="006838C7" w:rsidRDefault="002C4FA6">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Energy Magazine. </w:t>
      </w:r>
      <w:r>
        <w:rPr>
          <w:rFonts w:ascii="Arial Unicode MS" w:eastAsia="Arial Unicode MS" w:hAnsi="Arial Unicode MS" w:cs="Arial Unicode MS"/>
          <w:sz w:val="20"/>
          <w:szCs w:val="20"/>
        </w:rPr>
        <w:t>封面文章</w:t>
      </w:r>
      <w:r>
        <w:rPr>
          <w:rFonts w:ascii="Arial Unicode MS" w:eastAsia="Arial Unicode MS" w:hAnsi="Arial Unicode MS" w:cs="Arial Unicode MS"/>
          <w:sz w:val="20"/>
          <w:szCs w:val="20"/>
        </w:rPr>
        <w:t xml:space="preserve"> | </w:t>
      </w:r>
      <w:r>
        <w:rPr>
          <w:rFonts w:ascii="Arial Unicode MS" w:eastAsia="Arial Unicode MS" w:hAnsi="Arial Unicode MS" w:cs="Arial Unicode MS"/>
          <w:sz w:val="20"/>
          <w:szCs w:val="20"/>
        </w:rPr>
        <w:t>缺</w:t>
      </w:r>
      <w:r>
        <w:rPr>
          <w:rFonts w:ascii="Arial Unicode MS" w:eastAsia="Arial Unicode MS" w:hAnsi="Arial Unicode MS" w:cs="Arial Unicode MS"/>
          <w:sz w:val="20"/>
          <w:szCs w:val="20"/>
        </w:rPr>
        <w:t>电预警</w:t>
      </w:r>
      <w:r>
        <w:rPr>
          <w:rFonts w:ascii="Arial Unicode MS" w:eastAsia="Arial Unicode MS" w:hAnsi="Arial Unicode MS" w:cs="Arial Unicode MS"/>
          <w:sz w:val="20"/>
          <w:szCs w:val="20"/>
        </w:rPr>
        <w:t>. 2021 August. https://mp.weixin.qq.com/s/fcyoKUluZfOoccYxMf_POQ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37D8F12B" w:rsidR="006838C7" w:rsidRDefault="006838C7">
    <w:pPr>
      <w:jc w:val="center"/>
      <w:rPr>
        <w:b/>
        <w:sz w:val="28"/>
        <w:szCs w:val="28"/>
        <w:shd w:val="clear" w:color="auto" w:fill="B6D7A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4BD"/>
    <w:multiLevelType w:val="multilevel"/>
    <w:tmpl w:val="5F12A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2673EB"/>
    <w:multiLevelType w:val="multilevel"/>
    <w:tmpl w:val="89B42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C7"/>
    <w:rsid w:val="002C4FA6"/>
    <w:rsid w:val="00365233"/>
    <w:rsid w:val="0068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D620"/>
  <w15:docId w15:val="{6AAF1AEC-1578-46B1-B544-60B4204A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5233"/>
    <w:pPr>
      <w:tabs>
        <w:tab w:val="center" w:pos="4320"/>
        <w:tab w:val="right" w:pos="8640"/>
      </w:tabs>
      <w:spacing w:line="240" w:lineRule="auto"/>
    </w:pPr>
  </w:style>
  <w:style w:type="character" w:customStyle="1" w:styleId="HeaderChar">
    <w:name w:val="Header Char"/>
    <w:basedOn w:val="DefaultParagraphFont"/>
    <w:link w:val="Header"/>
    <w:uiPriority w:val="99"/>
    <w:rsid w:val="00365233"/>
  </w:style>
  <w:style w:type="paragraph" w:styleId="Footer">
    <w:name w:val="footer"/>
    <w:basedOn w:val="Normal"/>
    <w:link w:val="FooterChar"/>
    <w:uiPriority w:val="99"/>
    <w:unhideWhenUsed/>
    <w:rsid w:val="00365233"/>
    <w:pPr>
      <w:tabs>
        <w:tab w:val="center" w:pos="4320"/>
        <w:tab w:val="right" w:pos="8640"/>
      </w:tabs>
      <w:spacing w:line="240" w:lineRule="auto"/>
    </w:pPr>
  </w:style>
  <w:style w:type="character" w:customStyle="1" w:styleId="FooterChar">
    <w:name w:val="Footer Char"/>
    <w:basedOn w:val="DefaultParagraphFont"/>
    <w:link w:val="Footer"/>
    <w:uiPriority w:val="99"/>
    <w:rsid w:val="0036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August</cp:lastModifiedBy>
  <cp:revision>2</cp:revision>
  <dcterms:created xsi:type="dcterms:W3CDTF">2021-08-24T13:43:00Z</dcterms:created>
  <dcterms:modified xsi:type="dcterms:W3CDTF">2021-08-24T13:43:00Z</dcterms:modified>
</cp:coreProperties>
</file>