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ff0000"/>
          <w:highlight w:val="yellow"/>
        </w:rPr>
      </w:pPr>
      <w:r w:rsidDel="00000000" w:rsidR="00000000" w:rsidRPr="00000000">
        <w:rPr>
          <w:b w:val="1"/>
          <w:rtl w:val="0"/>
        </w:rPr>
        <w:t xml:space="preserve">**Thời gian công bố dự kiến: 6h00 sáng theo giờ Việt Nam, Thứ 2 ngày 25/11/2019**</w:t>
      </w:r>
      <w:r w:rsidDel="00000000" w:rsidR="00000000" w:rsidRPr="00000000">
        <w:rPr>
          <w:b w:val="1"/>
          <w:color w:val="ff0000"/>
          <w:highlight w:val="yellow"/>
          <w:rtl w:val="0"/>
        </w:rPr>
        <w:t xml:space="preserv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Các nhà máy điện than do Hàn Quốc cấp vốn dự báo sẽ gây ra 151.000 ca tử vong sớm</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Seoul, Hàn Quốc, ngày 25 tháng 11 năm 2019 - Theo báo cáo mới do Văn phòng Seoul, Greenpeace Đông Á công bố, dự kiến sẽ có tổng cộng 47.000 tới 151.000 ca tử vong sớm do hoạt động đầu tư của Hàn Quốc vào các nhà máy điện than ở nước ngoài gây ô nhiễm nặng nề trong vòng 30 năm tại các quốc gia như Việt Nam, Indonesia và Bangladesh.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bookmarkStart w:colFirst="0" w:colLast="0" w:name="_heading=h.gjdgxs" w:id="0"/>
      <w:bookmarkEnd w:id="0"/>
      <w:r w:rsidDel="00000000" w:rsidR="00000000" w:rsidRPr="00000000">
        <w:rPr>
          <w:rtl w:val="0"/>
        </w:rPr>
        <w:t xml:space="preserve">Trong bối cảnh tác động toàn cầu của biến đổi khí hậu do hoạt động đốt than ngày càng trở nên nghiêm trọng, Hàn Quốc vẫn đang rót vốn cho các nhà máy điện than ở nước ngoài thông qua các tổ chức tài chính công (PFAs). Những nhà máy này có thể phát thải ô nhiễm không khí cao gấp 33 lần so với các nhà máy được xây dựng tại Hàn Quốc.</w:t>
      </w:r>
    </w:p>
    <w:p w:rsidR="00000000" w:rsidDel="00000000" w:rsidP="00000000" w:rsidRDefault="00000000" w:rsidRPr="00000000" w14:paraId="00000008">
      <w:pPr>
        <w:widowControl w:val="0"/>
        <w:rPr/>
      </w:pPr>
      <w:r w:rsidDel="00000000" w:rsidR="00000000" w:rsidRPr="00000000">
        <w:rPr>
          <w:rtl w:val="0"/>
        </w:rPr>
      </w:r>
    </w:p>
    <w:p w:rsidR="00000000" w:rsidDel="00000000" w:rsidP="00000000" w:rsidRDefault="00000000" w:rsidRPr="00000000" w14:paraId="00000009">
      <w:pPr>
        <w:widowControl w:val="0"/>
        <w:rPr/>
      </w:pPr>
      <w:r w:rsidDel="00000000" w:rsidR="00000000" w:rsidRPr="00000000">
        <w:rPr>
          <w:rtl w:val="0"/>
        </w:rPr>
        <w:t xml:space="preserve">Ông Tata Mustasya, Chuyên viên Khí hậu và Năng lượng của Greenpeace khu vực Đông Nam Á, cho biết: </w:t>
      </w:r>
    </w:p>
    <w:p w:rsidR="00000000" w:rsidDel="00000000" w:rsidP="00000000" w:rsidRDefault="00000000" w:rsidRPr="00000000" w14:paraId="0000000A">
      <w:pPr>
        <w:widowControl w:val="0"/>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“Hoạt động đốt than sản sinh các hạt bụi gây ô nhiễm xâm nhập vào tế bào trong cơ thể, làm tổn thương tất cả các bộ phận, gây ra các vấn đề sức khỏe từ chứng mất trí nhớ đến gây hại cho thai nhi. Than cũng là tác nhân lớn nhất góp phần gây ra khủng hoảng khí hậu toàn cầu.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Phần lớn các quốc gia đang nhận vốn đầu tư của Hàn Quốc cho nhiệt điện than là các nước thuộc khu vực Đông Nam Á, nơi đang bị tổn thương nghiêm trọng bởi tác động của ô nhiễm không khí và biến đổi khí hậu. Chính phủ những quốc gia này cần bảo vệ người dân của đất nước mình cũng như hành tinh của chúng ta bằng cách nhanh chóng chuyển dịch từ điện than sang năng lượng sạch và tái tạo.”</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Kết quả phân tích và mô hình hóa của Văn phòng Seoul, Greenpeace Đông Á cho thấy: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numPr>
          <w:ilvl w:val="0"/>
          <w:numId w:val="1"/>
        </w:numPr>
        <w:ind w:left="720" w:hanging="360"/>
        <w:rPr/>
      </w:pPr>
      <w:r w:rsidDel="00000000" w:rsidR="00000000" w:rsidRPr="00000000">
        <w:rPr>
          <w:rtl w:val="0"/>
        </w:rPr>
        <w:t xml:space="preserve">Mười nhà máy điện than có vốn đầu tư của các tổ chức tài chính công Hàn Quốc (Ngân hàng Xuất nhập khẩu Hàn Quốc (KEXIM), Công ty Bảo hiểm Thương mại Hàn Quốc (K-Sure), Ngân hàng Phát triển Hàn Quốc (KDB)) sẽ gây ra 47.000 tới 151.000 ca tử vong sớm trong vòng đời hoạt động trung bình 30 năm của các nhà máy với giới hạn phát thải tại các nước như hiện nay. </w:t>
      </w:r>
    </w:p>
    <w:p w:rsidR="00000000" w:rsidDel="00000000" w:rsidP="00000000" w:rsidRDefault="00000000" w:rsidRPr="00000000" w14:paraId="00000012">
      <w:pPr>
        <w:widowControl w:val="0"/>
        <w:numPr>
          <w:ilvl w:val="0"/>
          <w:numId w:val="1"/>
        </w:numPr>
        <w:ind w:left="720" w:hanging="360"/>
        <w:rPr/>
      </w:pPr>
      <w:r w:rsidDel="00000000" w:rsidR="00000000" w:rsidRPr="00000000">
        <w:rPr>
          <w:rtl w:val="0"/>
        </w:rPr>
        <w:t xml:space="preserve">Theo dự báo, Việt Nam sẽ là quốc gia chịu ảnh hưởng nặng nề nhất, chiếm 38% tổng số ca tử vong sớm, tiếp đến là Indonesia (29%) và Bangladesh (20%).</w:t>
      </w:r>
    </w:p>
    <w:p w:rsidR="00000000" w:rsidDel="00000000" w:rsidP="00000000" w:rsidRDefault="00000000" w:rsidRPr="00000000" w14:paraId="00000013">
      <w:pPr>
        <w:widowControl w:val="0"/>
        <w:numPr>
          <w:ilvl w:val="0"/>
          <w:numId w:val="1"/>
        </w:numPr>
        <w:ind w:left="720" w:hanging="360"/>
        <w:rPr/>
      </w:pPr>
      <w:r w:rsidDel="00000000" w:rsidR="00000000" w:rsidRPr="00000000">
        <w:rPr>
          <w:rtl w:val="0"/>
        </w:rPr>
        <w:t xml:space="preserve">Việc áp dụng tiêu chuẩn kép về giới hạn phát thải các chất gây ô nhiễm không khí nguy hại cho phép các nhà máy nhiệt điện do Hàn Quốc đầu tư ở nước ngoài thải ra lượng khí ôxit nitơ (NOx) cao gấp 18,6 lần, lưu huỳnh điôxit (SO</w:t>
      </w:r>
      <w:r w:rsidDel="00000000" w:rsidR="00000000" w:rsidRPr="00000000">
        <w:rPr>
          <w:vertAlign w:val="subscript"/>
          <w:rtl w:val="0"/>
        </w:rPr>
        <w:t xml:space="preserve">2</w:t>
      </w:r>
      <w:r w:rsidDel="00000000" w:rsidR="00000000" w:rsidRPr="00000000">
        <w:rPr>
          <w:rtl w:val="0"/>
        </w:rPr>
        <w:t xml:space="preserve">) cao gấp 11,5 lần và lượng bụi cao gấp 33 lần so với các nhà máy được xây dựng ở Hàn Quốc.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Ông Mari Chang, Chuyên viên Khí hậu và Năng lượng, Văn phòng Seoul, Greenpeace Đông Á cho biết: “Năm 2017, Tổng thống Moon Jae-In và Chính phủ Hàn Quốc đã tuyên bố sẽ không cho phép xây dựng thêm các nhà máy nhiệt điện than mới ở nước này. Trong khi đó, trong giai đoạn từ tháng 1/2013 đến tháng 8/2019, Chính phủ Hàn Quốc lại bơm 7 nghìn tỷ Won (tương đương khoảng 5,7 tỷ USD) cho các nhà máy nhiệt điện ở các quốc gia khác với giới hạn phát thải lỏng lẻo. Tiêu chuẩn kép này đang đe dọa mạng sống của hàng ngàn người và hành tinh của chúng ta và cần phải được ngăn chặn.”</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Đã đến lúc Tổng thống Moon Jae-In và Chính phủ Hàn Quốc cần áp dụng tiêu chuẩn năng lượng sạch trong nước đối với các dự án đầu tư nước ngoài, đồng thời lập tức chuyển dòng tài chính đang đầu tư cho điện than gây ô nhiễm sang các nguồn năng lượng tái tạo. Các thay đổi về chính sách và đầu tư cần được thực hiện ngay để bảo vệ sức khỏe con người và tương lai hành tinh của chúng ta.</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HẾT</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Ghi chú:</w:t>
      </w:r>
    </w:p>
    <w:p w:rsidR="00000000" w:rsidDel="00000000" w:rsidP="00000000" w:rsidRDefault="00000000" w:rsidRPr="00000000" w14:paraId="0000001C">
      <w:pPr>
        <w:rPr/>
      </w:pPr>
      <w:r w:rsidDel="00000000" w:rsidR="00000000" w:rsidRPr="00000000">
        <w:rPr>
          <w:rtl w:val="0"/>
        </w:rPr>
        <w:t xml:space="preserve">Xem báo cáo đầy đủ (tiếng Anh), </w:t>
      </w:r>
      <w:hyperlink r:id="rId7">
        <w:r w:rsidDel="00000000" w:rsidR="00000000" w:rsidRPr="00000000">
          <w:rPr>
            <w:color w:val="1155cc"/>
            <w:u w:val="single"/>
            <w:rtl w:val="0"/>
          </w:rPr>
          <w:t xml:space="preserve">tại đây</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Xem báo cáo tóm tắt (bằng tiếng Việt), </w:t>
      </w:r>
      <w:hyperlink r:id="rId8">
        <w:r w:rsidDel="00000000" w:rsidR="00000000" w:rsidRPr="00000000">
          <w:rPr>
            <w:color w:val="1155cc"/>
            <w:u w:val="single"/>
            <w:rtl w:val="0"/>
          </w:rPr>
          <w:t xml:space="preserve">tại đây</w:t>
        </w:r>
      </w:hyperlink>
      <w:r w:rsidDel="00000000" w:rsidR="00000000" w:rsidRPr="00000000">
        <w:rPr>
          <w:rtl w:val="0"/>
        </w:rPr>
        <w:t xml:space="preserv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Liên hệ:</w:t>
      </w:r>
    </w:p>
    <w:p w:rsidR="00000000" w:rsidDel="00000000" w:rsidP="00000000" w:rsidRDefault="00000000" w:rsidRPr="00000000" w14:paraId="00000020">
      <w:pPr>
        <w:rPr/>
      </w:pPr>
      <w:r w:rsidDel="00000000" w:rsidR="00000000" w:rsidRPr="00000000">
        <w:rPr>
          <w:rtl w:val="0"/>
        </w:rPr>
        <w:t xml:space="preserve">Bộ phận Báo chí, Greenpeace Quốc tế (hoạt động 24 giờ), </w:t>
      </w:r>
    </w:p>
    <w:p w:rsidR="00000000" w:rsidDel="00000000" w:rsidP="00000000" w:rsidRDefault="00000000" w:rsidRPr="00000000" w14:paraId="00000021">
      <w:pPr>
        <w:rPr/>
      </w:pPr>
      <w:hyperlink r:id="rId9">
        <w:r w:rsidDel="00000000" w:rsidR="00000000" w:rsidRPr="00000000">
          <w:rPr>
            <w:color w:val="1155cc"/>
            <w:u w:val="single"/>
            <w:rtl w:val="0"/>
          </w:rPr>
          <w:t xml:space="preserve">pressdesk.int@greenpeace.org</w:t>
        </w:r>
      </w:hyperlink>
      <w:r w:rsidDel="00000000" w:rsidR="00000000" w:rsidRPr="00000000">
        <w:rPr>
          <w:rtl w:val="0"/>
        </w:rPr>
        <w:t xml:space="preserve">, +31 (0) 20 718 2470</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i w:val="1"/>
          <w:rtl w:val="0"/>
        </w:rPr>
        <w:t xml:space="preserve">Hãy theo dõi @greenpeacepress trên Twitter để cập nhật các thông cáo báo chí quốc tế mới nhất của chúng tôi.</w:t>
      </w:r>
      <w:r w:rsidDel="00000000" w:rsidR="00000000" w:rsidRPr="00000000">
        <w:rPr>
          <w:rtl w:val="0"/>
        </w:rPr>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headerReference r:id="rId1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V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Header">
    <w:name w:val="header"/>
    <w:basedOn w:val="Normal"/>
    <w:link w:val="HeaderChar"/>
    <w:uiPriority w:val="99"/>
    <w:unhideWhenUsed w:val="1"/>
    <w:rsid w:val="003B2C3C"/>
    <w:pPr>
      <w:tabs>
        <w:tab w:val="center" w:pos="4680"/>
        <w:tab w:val="right" w:pos="9360"/>
      </w:tabs>
      <w:spacing w:line="240" w:lineRule="auto"/>
    </w:pPr>
  </w:style>
  <w:style w:type="character" w:styleId="HeaderChar" w:customStyle="1">
    <w:name w:val="Header Char"/>
    <w:basedOn w:val="DefaultParagraphFont"/>
    <w:link w:val="Header"/>
    <w:uiPriority w:val="99"/>
    <w:rsid w:val="003B2C3C"/>
  </w:style>
  <w:style w:type="paragraph" w:styleId="Footer">
    <w:name w:val="footer"/>
    <w:basedOn w:val="Normal"/>
    <w:link w:val="FooterChar"/>
    <w:uiPriority w:val="99"/>
    <w:unhideWhenUsed w:val="1"/>
    <w:rsid w:val="003B2C3C"/>
    <w:pPr>
      <w:tabs>
        <w:tab w:val="center" w:pos="4680"/>
        <w:tab w:val="right" w:pos="9360"/>
      </w:tabs>
      <w:spacing w:line="240" w:lineRule="auto"/>
    </w:pPr>
  </w:style>
  <w:style w:type="character" w:styleId="FooterChar" w:customStyle="1">
    <w:name w:val="Footer Char"/>
    <w:basedOn w:val="DefaultParagraphFont"/>
    <w:link w:val="Footer"/>
    <w:uiPriority w:val="99"/>
    <w:rsid w:val="003B2C3C"/>
  </w:style>
  <w:style w:type="character" w:styleId="CommentReference">
    <w:name w:val="annotation reference"/>
    <w:basedOn w:val="DefaultParagraphFont"/>
    <w:uiPriority w:val="99"/>
    <w:semiHidden w:val="1"/>
    <w:unhideWhenUsed w:val="1"/>
    <w:rsid w:val="00625953"/>
    <w:rPr>
      <w:sz w:val="16"/>
      <w:szCs w:val="16"/>
    </w:rPr>
  </w:style>
  <w:style w:type="paragraph" w:styleId="CommentText">
    <w:name w:val="annotation text"/>
    <w:basedOn w:val="Normal"/>
    <w:link w:val="CommentTextChar"/>
    <w:uiPriority w:val="99"/>
    <w:semiHidden w:val="1"/>
    <w:unhideWhenUsed w:val="1"/>
    <w:rsid w:val="00625953"/>
    <w:pPr>
      <w:spacing w:line="240" w:lineRule="auto"/>
    </w:pPr>
    <w:rPr>
      <w:sz w:val="20"/>
      <w:szCs w:val="20"/>
    </w:rPr>
  </w:style>
  <w:style w:type="character" w:styleId="CommentTextChar" w:customStyle="1">
    <w:name w:val="Comment Text Char"/>
    <w:basedOn w:val="DefaultParagraphFont"/>
    <w:link w:val="CommentText"/>
    <w:uiPriority w:val="99"/>
    <w:semiHidden w:val="1"/>
    <w:rsid w:val="00625953"/>
    <w:rPr>
      <w:sz w:val="20"/>
      <w:szCs w:val="20"/>
    </w:rPr>
  </w:style>
  <w:style w:type="paragraph" w:styleId="CommentSubject">
    <w:name w:val="annotation subject"/>
    <w:basedOn w:val="CommentText"/>
    <w:next w:val="CommentText"/>
    <w:link w:val="CommentSubjectChar"/>
    <w:uiPriority w:val="99"/>
    <w:semiHidden w:val="1"/>
    <w:unhideWhenUsed w:val="1"/>
    <w:rsid w:val="00625953"/>
    <w:rPr>
      <w:b w:val="1"/>
      <w:bCs w:val="1"/>
    </w:rPr>
  </w:style>
  <w:style w:type="character" w:styleId="CommentSubjectChar" w:customStyle="1">
    <w:name w:val="Comment Subject Char"/>
    <w:basedOn w:val="CommentTextChar"/>
    <w:link w:val="CommentSubject"/>
    <w:uiPriority w:val="99"/>
    <w:semiHidden w:val="1"/>
    <w:rsid w:val="00625953"/>
    <w:rPr>
      <w:b w:val="1"/>
      <w:bCs w:val="1"/>
      <w:sz w:val="20"/>
      <w:szCs w:val="20"/>
    </w:rPr>
  </w:style>
  <w:style w:type="paragraph" w:styleId="BalloonText">
    <w:name w:val="Balloon Text"/>
    <w:basedOn w:val="Normal"/>
    <w:link w:val="BalloonTextChar"/>
    <w:uiPriority w:val="99"/>
    <w:semiHidden w:val="1"/>
    <w:unhideWhenUsed w:val="1"/>
    <w:rsid w:val="00625953"/>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25953"/>
    <w:rPr>
      <w:rFonts w:ascii="Segoe UI" w:cs="Segoe UI" w:hAnsi="Segoe UI"/>
      <w:sz w:val="18"/>
      <w:szCs w:val="18"/>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pressdesk.int@greenpeace.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torage.googleapis.com/planet4-international-stateless/2019/11/ea2d3c1d-double_standard_report-high-resolution.pdf" TargetMode="External"/><Relationship Id="rId8" Type="http://schemas.openxmlformats.org/officeDocument/2006/relationships/hyperlink" Target="https://storage.googleapis.com/planet4-international-stateless/2019/11/20191122-Double_standards_exec_Design_Vi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o4JsBjectAtUZQoCr9aezigCg==">AMUW2mWfcBbnlvfyKM/wgoetoXosr8JyWVL1XH+aF0ial0xcE7KRD2P5Busjq5R7ST42pDQkGbXEA8X0oy0SPc9s5qod0t6Bf8DjvcLgFtzpdPjUHE6ppQgcvGfpdExRy9YQqF3R/qe4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2019-11-20T10:31:00Z</dcterms:created>
  <dc:creator>Nguyen Thi Hang</dc:creator>
</cp:coreProperties>
</file>