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47B4" w:rsidRDefault="00000000">
      <w:pPr>
        <w:spacing w:after="240" w:line="240" w:lineRule="auto"/>
        <w:jc w:val="both"/>
        <w:rPr>
          <w:color w:val="222222"/>
          <w:sz w:val="24"/>
          <w:szCs w:val="24"/>
        </w:rPr>
      </w:pPr>
      <w:r>
        <w:rPr>
          <w:color w:val="222222"/>
          <w:sz w:val="28"/>
          <w:szCs w:val="28"/>
        </w:rPr>
        <w:t>OGGETTO DELLA MAIL</w:t>
      </w:r>
      <w:r>
        <w:rPr>
          <w:color w:val="222222"/>
          <w:sz w:val="24"/>
          <w:szCs w:val="24"/>
        </w:rPr>
        <w:t xml:space="preserve">: Richiesta di accesso generalizzato (FOIA) </w:t>
      </w:r>
    </w:p>
    <w:p w14:paraId="00000002" w14:textId="77777777" w:rsidR="003E47B4" w:rsidRDefault="00000000">
      <w:pPr>
        <w:spacing w:before="280" w:after="240" w:line="240" w:lineRule="auto"/>
        <w:jc w:val="both"/>
        <w:rPr>
          <w:color w:val="222222"/>
          <w:sz w:val="24"/>
          <w:szCs w:val="24"/>
        </w:rPr>
      </w:pPr>
      <w:r>
        <w:rPr>
          <w:color w:val="222222"/>
          <w:sz w:val="24"/>
          <w:szCs w:val="24"/>
        </w:rPr>
        <w:t> </w:t>
      </w:r>
    </w:p>
    <w:p w14:paraId="00000003" w14:textId="77777777" w:rsidR="003E47B4" w:rsidRDefault="00000000">
      <w:pPr>
        <w:spacing w:before="280" w:after="280" w:line="240" w:lineRule="auto"/>
        <w:jc w:val="right"/>
        <w:rPr>
          <w:color w:val="222222"/>
          <w:sz w:val="24"/>
          <w:szCs w:val="24"/>
        </w:rPr>
      </w:pPr>
      <w:r>
        <w:rPr>
          <w:color w:val="222222"/>
          <w:sz w:val="24"/>
          <w:szCs w:val="24"/>
        </w:rPr>
        <w:t>Alla cortese attenzione di</w:t>
      </w:r>
    </w:p>
    <w:p w14:paraId="00000004" w14:textId="77777777" w:rsidR="003E47B4" w:rsidRDefault="00000000">
      <w:pPr>
        <w:spacing w:before="280" w:after="280" w:line="240" w:lineRule="auto"/>
        <w:jc w:val="right"/>
        <w:rPr>
          <w:color w:val="222222"/>
          <w:sz w:val="24"/>
          <w:szCs w:val="24"/>
        </w:rPr>
      </w:pPr>
      <w:r>
        <w:rPr>
          <w:color w:val="222222"/>
          <w:sz w:val="24"/>
          <w:szCs w:val="24"/>
          <w:highlight w:val="yellow"/>
        </w:rPr>
        <w:t xml:space="preserve"> [NOME E INDIRIZZO DELL’UNIVERSITA’]</w:t>
      </w:r>
    </w:p>
    <w:p w14:paraId="00000005" w14:textId="77777777" w:rsidR="003E47B4" w:rsidRDefault="00000000">
      <w:pPr>
        <w:spacing w:before="280" w:after="240" w:line="240" w:lineRule="auto"/>
        <w:jc w:val="both"/>
        <w:rPr>
          <w:color w:val="222222"/>
          <w:sz w:val="24"/>
          <w:szCs w:val="24"/>
        </w:rPr>
      </w:pPr>
      <w:r>
        <w:rPr>
          <w:color w:val="222222"/>
          <w:sz w:val="24"/>
          <w:szCs w:val="24"/>
        </w:rPr>
        <w:t> </w:t>
      </w:r>
    </w:p>
    <w:p w14:paraId="00000006" w14:textId="77777777" w:rsidR="003E47B4" w:rsidRDefault="00000000">
      <w:pPr>
        <w:spacing w:before="280" w:after="280" w:line="240" w:lineRule="auto"/>
        <w:jc w:val="both"/>
        <w:rPr>
          <w:color w:val="222222"/>
          <w:sz w:val="24"/>
          <w:szCs w:val="24"/>
          <w:highlight w:val="yellow"/>
        </w:rPr>
      </w:pPr>
      <w:r>
        <w:rPr>
          <w:color w:val="222222"/>
          <w:sz w:val="24"/>
          <w:szCs w:val="24"/>
        </w:rPr>
        <w:t>Il/la sottoscritto/a</w:t>
      </w:r>
    </w:p>
    <w:p w14:paraId="00000007" w14:textId="77777777" w:rsidR="003E47B4" w:rsidRDefault="00000000">
      <w:pPr>
        <w:spacing w:before="280" w:after="280" w:line="240" w:lineRule="auto"/>
        <w:jc w:val="both"/>
        <w:rPr>
          <w:color w:val="222222"/>
          <w:sz w:val="24"/>
          <w:szCs w:val="24"/>
          <w:highlight w:val="yellow"/>
        </w:rPr>
      </w:pPr>
      <w:r>
        <w:rPr>
          <w:color w:val="222222"/>
          <w:sz w:val="24"/>
          <w:szCs w:val="24"/>
          <w:highlight w:val="yellow"/>
        </w:rPr>
        <w:t>[NOME, COGNOME_________</w:t>
      </w:r>
    </w:p>
    <w:p w14:paraId="00000008" w14:textId="77777777" w:rsidR="003E47B4" w:rsidRDefault="00000000">
      <w:pPr>
        <w:spacing w:before="280" w:after="280" w:line="240" w:lineRule="auto"/>
        <w:jc w:val="both"/>
        <w:rPr>
          <w:color w:val="222222"/>
          <w:sz w:val="24"/>
          <w:szCs w:val="24"/>
          <w:highlight w:val="yellow"/>
        </w:rPr>
      </w:pPr>
      <w:r>
        <w:rPr>
          <w:color w:val="222222"/>
          <w:sz w:val="24"/>
          <w:szCs w:val="24"/>
          <w:highlight w:val="yellow"/>
        </w:rPr>
        <w:t>NATA A___________________</w:t>
      </w:r>
    </w:p>
    <w:p w14:paraId="00000009" w14:textId="77777777" w:rsidR="003E47B4" w:rsidRDefault="00000000">
      <w:pPr>
        <w:spacing w:before="280" w:after="280" w:line="240" w:lineRule="auto"/>
        <w:jc w:val="both"/>
        <w:rPr>
          <w:color w:val="222222"/>
          <w:sz w:val="24"/>
          <w:szCs w:val="24"/>
          <w:highlight w:val="yellow"/>
        </w:rPr>
      </w:pPr>
      <w:r>
        <w:rPr>
          <w:color w:val="222222"/>
          <w:sz w:val="24"/>
          <w:szCs w:val="24"/>
          <w:highlight w:val="yellow"/>
        </w:rPr>
        <w:t>IL________________________</w:t>
      </w:r>
    </w:p>
    <w:p w14:paraId="0000000A" w14:textId="77777777" w:rsidR="003E47B4" w:rsidRDefault="00000000">
      <w:pPr>
        <w:spacing w:before="280" w:after="280" w:line="240" w:lineRule="auto"/>
        <w:jc w:val="both"/>
        <w:rPr>
          <w:color w:val="222222"/>
          <w:sz w:val="24"/>
          <w:szCs w:val="24"/>
          <w:highlight w:val="yellow"/>
        </w:rPr>
      </w:pPr>
      <w:r>
        <w:rPr>
          <w:color w:val="222222"/>
          <w:sz w:val="24"/>
          <w:szCs w:val="24"/>
          <w:highlight w:val="yellow"/>
        </w:rPr>
        <w:t>RESIDENTE A______________</w:t>
      </w:r>
    </w:p>
    <w:p w14:paraId="0000000B" w14:textId="77777777" w:rsidR="003E47B4" w:rsidRDefault="00000000">
      <w:pPr>
        <w:spacing w:before="280" w:after="280" w:line="240" w:lineRule="auto"/>
        <w:jc w:val="both"/>
        <w:rPr>
          <w:color w:val="222222"/>
          <w:sz w:val="24"/>
          <w:szCs w:val="24"/>
          <w:highlight w:val="yellow"/>
        </w:rPr>
      </w:pPr>
      <w:r>
        <w:rPr>
          <w:color w:val="222222"/>
          <w:sz w:val="24"/>
          <w:szCs w:val="24"/>
          <w:highlight w:val="yellow"/>
        </w:rPr>
        <w:t>IN VIA/PIAZZA_____________]</w:t>
      </w:r>
    </w:p>
    <w:p w14:paraId="0000000C" w14:textId="77777777" w:rsidR="003E47B4" w:rsidRDefault="003E47B4">
      <w:pPr>
        <w:spacing w:before="280" w:after="280" w:line="240" w:lineRule="auto"/>
        <w:jc w:val="both"/>
        <w:rPr>
          <w:color w:val="222222"/>
          <w:sz w:val="24"/>
          <w:szCs w:val="24"/>
        </w:rPr>
      </w:pPr>
    </w:p>
    <w:p w14:paraId="0000000D" w14:textId="77777777" w:rsidR="003E47B4" w:rsidRDefault="003E47B4">
      <w:pPr>
        <w:spacing w:before="280" w:after="280" w:line="240" w:lineRule="auto"/>
        <w:jc w:val="both"/>
        <w:rPr>
          <w:color w:val="222222"/>
          <w:sz w:val="24"/>
          <w:szCs w:val="24"/>
        </w:rPr>
      </w:pPr>
    </w:p>
    <w:p w14:paraId="0000000E" w14:textId="77777777" w:rsidR="003E47B4" w:rsidRDefault="00000000">
      <w:pPr>
        <w:spacing w:before="280" w:after="240" w:line="240" w:lineRule="auto"/>
        <w:jc w:val="center"/>
        <w:rPr>
          <w:color w:val="222222"/>
          <w:sz w:val="28"/>
          <w:szCs w:val="28"/>
        </w:rPr>
      </w:pPr>
      <w:r>
        <w:rPr>
          <w:color w:val="222222"/>
          <w:sz w:val="28"/>
          <w:szCs w:val="28"/>
        </w:rPr>
        <w:t>PREMESSO CHE</w:t>
      </w:r>
    </w:p>
    <w:p w14:paraId="0000000F" w14:textId="77777777" w:rsidR="003E47B4" w:rsidRDefault="003E47B4">
      <w:pPr>
        <w:spacing w:before="280" w:after="240" w:line="240" w:lineRule="auto"/>
        <w:jc w:val="center"/>
        <w:rPr>
          <w:color w:val="222222"/>
          <w:sz w:val="28"/>
          <w:szCs w:val="28"/>
        </w:rPr>
      </w:pPr>
    </w:p>
    <w:p w14:paraId="00000010" w14:textId="77777777" w:rsidR="003E47B4" w:rsidRDefault="00000000">
      <w:pPr>
        <w:numPr>
          <w:ilvl w:val="0"/>
          <w:numId w:val="3"/>
        </w:numPr>
        <w:spacing w:before="280" w:line="240" w:lineRule="auto"/>
        <w:ind w:left="283"/>
        <w:jc w:val="both"/>
        <w:rPr>
          <w:color w:val="262626"/>
          <w:sz w:val="24"/>
          <w:szCs w:val="24"/>
        </w:rPr>
      </w:pPr>
      <w:r>
        <w:rPr>
          <w:color w:val="262626"/>
          <w:sz w:val="24"/>
          <w:szCs w:val="24"/>
        </w:rPr>
        <w:t>Sussiste per i cittadini il diritto di accesso alle informazioni ambientali garantito dal decreto legislativo del 19 agosto 2005, n. 195 in attuazione della direttiva comunitaria 2003/4/CEE, di accedere alle informazioni relative all'ambiente in possesso delle Autorità Pubbliche;</w:t>
      </w:r>
    </w:p>
    <w:p w14:paraId="00000011" w14:textId="77777777" w:rsidR="003E47B4" w:rsidRDefault="00000000">
      <w:pPr>
        <w:numPr>
          <w:ilvl w:val="0"/>
          <w:numId w:val="3"/>
        </w:numPr>
        <w:spacing w:line="240" w:lineRule="auto"/>
        <w:ind w:left="283"/>
        <w:jc w:val="both"/>
        <w:rPr>
          <w:color w:val="262626"/>
          <w:sz w:val="24"/>
          <w:szCs w:val="24"/>
        </w:rPr>
      </w:pPr>
      <w:r>
        <w:rPr>
          <w:color w:val="262626"/>
          <w:sz w:val="24"/>
          <w:szCs w:val="24"/>
        </w:rPr>
        <w:t>L’Art. 40 Legge 33/2013 “Pubblicazione e accesso alle informazioni ambientali” ribadisce che: 1) In materia di informazioni ambientali restano ferme le disposizioni di maggior tutela già previste dall'articolo 3-sexies del decreto legislativo 3 aprile 2006 n. 152, dalla legge 16 marzo 2001, n. 108, nonché dal decreto legislativo 19 agosto 2005 n</w:t>
      </w:r>
      <w:hyperlink r:id="rId5">
        <w:r>
          <w:rPr>
            <w:color w:val="1155CC"/>
            <w:sz w:val="24"/>
            <w:szCs w:val="24"/>
            <w:u w:val="single"/>
          </w:rPr>
          <w:t>. 195. 2</w:t>
        </w:r>
      </w:hyperlink>
      <w:r>
        <w:rPr>
          <w:color w:val="262626"/>
          <w:sz w:val="24"/>
          <w:szCs w:val="24"/>
        </w:rPr>
        <w:t>) Le amministrazioni di cui all'articolo 2, comma 1, lettera b), del decreto legislativo n. 195 del 2005, pubblicano, sui propri siti istituzionali e in conformità a quanto previsto dal presente decreto, le informazioni ambientali di cui all'articolo 2, comma 1, lettera a), del decreto legislativo 19 agosto 2005, n. 195, che detengono ai fini delle proprie attività istituzionali, nonché le relazioni di cui all'articolo 10 del medesimo decreto legislativo. Di tali informazioni deve essere dato specifico rilievo all'interno di un'apposita sezione detta «Informazioni ambientali»;</w:t>
      </w:r>
    </w:p>
    <w:p w14:paraId="00000012" w14:textId="77777777" w:rsidR="003E47B4" w:rsidRDefault="00000000">
      <w:pPr>
        <w:numPr>
          <w:ilvl w:val="0"/>
          <w:numId w:val="3"/>
        </w:numPr>
        <w:spacing w:line="240" w:lineRule="auto"/>
        <w:ind w:left="283"/>
        <w:jc w:val="both"/>
        <w:rPr>
          <w:color w:val="262626"/>
          <w:sz w:val="24"/>
          <w:szCs w:val="24"/>
        </w:rPr>
      </w:pPr>
      <w:r>
        <w:rPr>
          <w:color w:val="222222"/>
          <w:sz w:val="24"/>
          <w:szCs w:val="24"/>
        </w:rPr>
        <w:t xml:space="preserve">Con il decreto legislativo recante revisione e semplificazione delle disposizioni in materia di prevenzione della corruzione pubblicità e trasparenza correttivo della legge 6 novembre 2012, n. 190 e del decreto legislativo 14 marzo 2013, n. 33, ai </w:t>
      </w:r>
      <w:r>
        <w:rPr>
          <w:color w:val="222222"/>
          <w:sz w:val="24"/>
          <w:szCs w:val="24"/>
        </w:rPr>
        <w:lastRenderedPageBreak/>
        <w:t>sensi dell’articolo 7 della legge 7 agosto 2015, n. 124 c.d. Decreto Legislativo sulla Trasparenza, in materia di riorganizzazione delle amministrazioni pubbliche, è stato introdotto nel nostro ordinamento il FOIA “</w:t>
      </w:r>
      <w:r>
        <w:rPr>
          <w:i/>
          <w:color w:val="222222"/>
          <w:sz w:val="24"/>
          <w:szCs w:val="24"/>
        </w:rPr>
        <w:t>Freedom of Information Acts” (FOIA)”</w:t>
      </w:r>
      <w:r>
        <w:rPr>
          <w:color w:val="222222"/>
          <w:sz w:val="24"/>
          <w:szCs w:val="24"/>
        </w:rPr>
        <w:t>, in base ad esse la pubblica amministrazione ha obblighi di informazione, pubblicazione e trasparenza e i cittadini hanno diritto a chiedere ogni tipo di informazione prodotta e posseduta dalle amministrazioni che non contrastino con la sicurezza nazionale o la privacy;</w:t>
      </w:r>
    </w:p>
    <w:p w14:paraId="00000013" w14:textId="77777777" w:rsidR="003E47B4" w:rsidRDefault="00000000">
      <w:pPr>
        <w:numPr>
          <w:ilvl w:val="0"/>
          <w:numId w:val="3"/>
        </w:numPr>
        <w:spacing w:line="240" w:lineRule="auto"/>
        <w:ind w:left="283"/>
        <w:jc w:val="both"/>
        <w:rPr>
          <w:color w:val="262626"/>
          <w:sz w:val="24"/>
          <w:szCs w:val="24"/>
        </w:rPr>
      </w:pPr>
      <w:r>
        <w:rPr>
          <w:color w:val="222222"/>
          <w:sz w:val="24"/>
          <w:szCs w:val="24"/>
        </w:rPr>
        <w:t>Il decreto 33/2013, come modificato dal D. Lgs 97/2016, chiaramente stabilisce i requisiti per l’istanza di accesso ai documenti amministrativi: “L’esercizio del diritto di cui ai commi 1 e 2 non è sottoposto ad alcuna limitazione quanto alla legittimazione soggettiva del richiedente. L’istanza di accesso civico identifica i dati, le informazioni o i documenti richiesti e non richiede motivazione.”, chiarendo all'art. 5 comma 2 che </w:t>
      </w:r>
      <w:r>
        <w:rPr>
          <w:color w:val="262626"/>
          <w:sz w:val="24"/>
          <w:szCs w:val="24"/>
        </w:rPr>
        <w:t>«</w:t>
      </w:r>
      <w:r>
        <w:rPr>
          <w:color w:val="222222"/>
          <w:sz w:val="24"/>
          <w:szCs w:val="24"/>
        </w:rPr>
        <w:t>chiunque ha diritto di accedere ai dati e ai documenti detenuti dalle pubbliche amministrazioni, </w:t>
      </w:r>
      <w:r>
        <w:rPr>
          <w:b/>
          <w:color w:val="222222"/>
          <w:sz w:val="24"/>
          <w:szCs w:val="24"/>
        </w:rPr>
        <w:t>ulteriori rispetto a quelli oggetto di pubblicazione </w:t>
      </w:r>
      <w:r>
        <w:rPr>
          <w:color w:val="222222"/>
          <w:sz w:val="24"/>
          <w:szCs w:val="24"/>
        </w:rPr>
        <w:t>ai sensi del presente decreto</w:t>
      </w:r>
      <w:r>
        <w:rPr>
          <w:color w:val="262626"/>
          <w:sz w:val="24"/>
          <w:szCs w:val="24"/>
        </w:rPr>
        <w:t>»</w:t>
      </w:r>
      <w:r>
        <w:rPr>
          <w:color w:val="222222"/>
          <w:sz w:val="24"/>
          <w:szCs w:val="24"/>
        </w:rPr>
        <w:t>;</w:t>
      </w:r>
    </w:p>
    <w:p w14:paraId="00000014" w14:textId="77777777" w:rsidR="003E47B4" w:rsidRDefault="00000000">
      <w:pPr>
        <w:numPr>
          <w:ilvl w:val="0"/>
          <w:numId w:val="3"/>
        </w:numPr>
        <w:spacing w:after="240" w:line="240" w:lineRule="auto"/>
        <w:ind w:left="283"/>
        <w:jc w:val="both"/>
        <w:rPr>
          <w:color w:val="262626"/>
          <w:sz w:val="24"/>
          <w:szCs w:val="24"/>
        </w:rPr>
      </w:pPr>
      <w:r>
        <w:rPr>
          <w:color w:val="262626"/>
          <w:sz w:val="24"/>
          <w:szCs w:val="24"/>
        </w:rPr>
        <w:t xml:space="preserve">Con la presente richiesta si intende richiamare il principio sancito dall’articolo 1 del </w:t>
      </w:r>
      <w:proofErr w:type="gramStart"/>
      <w:r>
        <w:rPr>
          <w:color w:val="262626"/>
          <w:sz w:val="24"/>
          <w:szCs w:val="24"/>
        </w:rPr>
        <w:t>Decreto Legge</w:t>
      </w:r>
      <w:proofErr w:type="gramEnd"/>
      <w:r>
        <w:rPr>
          <w:color w:val="262626"/>
          <w:sz w:val="24"/>
          <w:szCs w:val="24"/>
        </w:rPr>
        <w:t xml:space="preserve"> 33/2013 che definisce la trasparenza come «[...] accessibilità totale delle informazioni concernenti l'organizzazione e l'attività delle pubbliche amministrazioni, allo scopo di favorire forme diffuse di controllo sul perseguimento delle funzioni istituzionali e sull'utilizzo delle risorse pubbliche».</w:t>
      </w:r>
    </w:p>
    <w:p w14:paraId="00000015" w14:textId="77777777" w:rsidR="003E47B4" w:rsidRDefault="00000000">
      <w:pPr>
        <w:spacing w:before="280" w:after="240" w:line="240" w:lineRule="auto"/>
        <w:jc w:val="both"/>
        <w:rPr>
          <w:color w:val="222222"/>
          <w:sz w:val="24"/>
          <w:szCs w:val="24"/>
        </w:rPr>
      </w:pPr>
      <w:r>
        <w:rPr>
          <w:color w:val="222222"/>
          <w:sz w:val="24"/>
          <w:szCs w:val="24"/>
        </w:rPr>
        <w:t> </w:t>
      </w:r>
    </w:p>
    <w:p w14:paraId="00000016" w14:textId="77777777" w:rsidR="003E47B4" w:rsidRDefault="00000000">
      <w:pPr>
        <w:spacing w:before="280" w:after="240" w:line="240" w:lineRule="auto"/>
        <w:jc w:val="center"/>
        <w:rPr>
          <w:color w:val="222222"/>
          <w:sz w:val="28"/>
          <w:szCs w:val="28"/>
        </w:rPr>
      </w:pPr>
      <w:r>
        <w:rPr>
          <w:color w:val="222222"/>
          <w:sz w:val="28"/>
          <w:szCs w:val="28"/>
        </w:rPr>
        <w:t>CONSIDERATO CHE</w:t>
      </w:r>
    </w:p>
    <w:p w14:paraId="00000017" w14:textId="77777777" w:rsidR="003E47B4" w:rsidRDefault="00000000">
      <w:pPr>
        <w:numPr>
          <w:ilvl w:val="0"/>
          <w:numId w:val="4"/>
        </w:numPr>
        <w:spacing w:before="280" w:line="240" w:lineRule="auto"/>
        <w:ind w:left="283"/>
        <w:jc w:val="both"/>
        <w:rPr>
          <w:color w:val="262626"/>
          <w:sz w:val="24"/>
          <w:szCs w:val="24"/>
        </w:rPr>
      </w:pPr>
      <w:r>
        <w:rPr>
          <w:color w:val="262626"/>
          <w:sz w:val="24"/>
          <w:szCs w:val="24"/>
        </w:rPr>
        <w:t>È noto allo scrivente l'esistenza di accordi quadro stipulati dalle Università nei confronti di aziende (</w:t>
      </w:r>
      <w:hyperlink r:id="rId6">
        <w:r>
          <w:rPr>
            <w:color w:val="262626"/>
            <w:sz w:val="24"/>
            <w:szCs w:val="24"/>
          </w:rPr>
          <w:t xml:space="preserve">si veda a titolo puramente esemplificativo: </w:t>
        </w:r>
      </w:hyperlink>
      <w:hyperlink r:id="rId7">
        <w:r>
          <w:rPr>
            <w:color w:val="0000FF"/>
            <w:sz w:val="24"/>
            <w:szCs w:val="24"/>
            <w:u w:val="single"/>
          </w:rPr>
          <w:t xml:space="preserve">accordo quadro stipulato dall’Università di Bologna con l’azienda Eni </w:t>
        </w:r>
        <w:proofErr w:type="spellStart"/>
        <w:r>
          <w:rPr>
            <w:color w:val="0000FF"/>
            <w:sz w:val="24"/>
            <w:szCs w:val="24"/>
            <w:u w:val="single"/>
          </w:rPr>
          <w:t>S.p.A</w:t>
        </w:r>
        <w:proofErr w:type="spellEnd"/>
        <w:r>
          <w:rPr>
            <w:color w:val="0000FF"/>
            <w:sz w:val="24"/>
            <w:szCs w:val="24"/>
            <w:u w:val="single"/>
          </w:rPr>
          <w:t xml:space="preserve"> ad oggetto attività di ricerca nel campo energetico, firmato nel 2017</w:t>
        </w:r>
      </w:hyperlink>
      <w:r>
        <w:rPr>
          <w:color w:val="262626"/>
          <w:sz w:val="24"/>
          <w:szCs w:val="24"/>
        </w:rPr>
        <w:t>);</w:t>
      </w:r>
    </w:p>
    <w:p w14:paraId="00000018" w14:textId="77777777" w:rsidR="003E47B4" w:rsidRDefault="00000000">
      <w:pPr>
        <w:numPr>
          <w:ilvl w:val="0"/>
          <w:numId w:val="2"/>
        </w:numPr>
        <w:spacing w:line="240" w:lineRule="auto"/>
        <w:ind w:left="283"/>
        <w:jc w:val="both"/>
        <w:rPr>
          <w:color w:val="1A1A1A"/>
          <w:sz w:val="24"/>
          <w:szCs w:val="24"/>
        </w:rPr>
      </w:pPr>
      <w:r>
        <w:rPr>
          <w:color w:val="262626"/>
          <w:sz w:val="24"/>
          <w:szCs w:val="24"/>
        </w:rPr>
        <w:t>Oltre ai suddetti “accordi quadro” esistono altri rapporti di collaborazione istituti tra enti privati e Università, definiti come “convenzione” (</w:t>
      </w:r>
      <w:hyperlink r:id="rId8">
        <w:r>
          <w:rPr>
            <w:color w:val="262626"/>
            <w:sz w:val="24"/>
            <w:szCs w:val="24"/>
          </w:rPr>
          <w:t>si veda a titolo puramente esemplificativo</w:t>
        </w:r>
      </w:hyperlink>
      <w:r>
        <w:rPr>
          <w:color w:val="262626"/>
          <w:sz w:val="24"/>
          <w:szCs w:val="24"/>
        </w:rPr>
        <w:t xml:space="preserve">: </w:t>
      </w:r>
      <w:r>
        <w:rPr>
          <w:color w:val="0000FF"/>
          <w:sz w:val="24"/>
          <w:szCs w:val="24"/>
          <w:u w:val="single"/>
        </w:rPr>
        <w:t>https://www.unimi.it/sites/default/files/2019-05/SA%2020190514_0.pdf</w:t>
      </w:r>
      <w:r>
        <w:rPr>
          <w:color w:val="262626"/>
          <w:sz w:val="24"/>
          <w:szCs w:val="24"/>
        </w:rPr>
        <w:t>) oppure “accordo di collaborazione” (</w:t>
      </w:r>
      <w:hyperlink r:id="rId9">
        <w:r>
          <w:rPr>
            <w:color w:val="262626"/>
            <w:sz w:val="24"/>
            <w:szCs w:val="24"/>
          </w:rPr>
          <w:t>si veda a titolo puramente esemplificativo</w:t>
        </w:r>
      </w:hyperlink>
      <w:r>
        <w:rPr>
          <w:color w:val="262626"/>
          <w:sz w:val="24"/>
          <w:szCs w:val="24"/>
        </w:rPr>
        <w:t xml:space="preserve">: </w:t>
      </w:r>
      <w:r>
        <w:rPr>
          <w:color w:val="0000FF"/>
          <w:sz w:val="24"/>
          <w:szCs w:val="24"/>
          <w:u w:val="single"/>
        </w:rPr>
        <w:t>https://www.poliba.it/sites/default/files/senato_accademico/sedute/190610esitisa.xlsx.pdf</w:t>
      </w:r>
      <w:r>
        <w:rPr>
          <w:color w:val="262626"/>
          <w:sz w:val="24"/>
          <w:szCs w:val="24"/>
        </w:rPr>
        <w:t>) o semplici “collaborazioni”;</w:t>
      </w:r>
    </w:p>
    <w:p w14:paraId="432F0AC4" w14:textId="36DB2783" w:rsidR="00F77733" w:rsidRPr="001838EE" w:rsidRDefault="00000000" w:rsidP="001838EE">
      <w:pPr>
        <w:numPr>
          <w:ilvl w:val="0"/>
          <w:numId w:val="2"/>
        </w:numPr>
        <w:spacing w:line="240" w:lineRule="auto"/>
        <w:jc w:val="both"/>
        <w:rPr>
          <w:color w:val="262626"/>
          <w:sz w:val="24"/>
          <w:szCs w:val="24"/>
        </w:rPr>
      </w:pPr>
      <w:r w:rsidRPr="004944C9">
        <w:rPr>
          <w:color w:val="262626"/>
          <w:sz w:val="24"/>
          <w:szCs w:val="24"/>
        </w:rPr>
        <w:t xml:space="preserve">La sentenza del Consiglio di Stato del 06.07.2023 n. 6611 </w:t>
      </w:r>
      <w:r w:rsidR="00F77733" w:rsidRPr="004944C9">
        <w:rPr>
          <w:color w:val="262626"/>
          <w:sz w:val="24"/>
          <w:szCs w:val="24"/>
        </w:rPr>
        <w:t>secondo cui</w:t>
      </w:r>
      <w:r w:rsidR="00F77733">
        <w:rPr>
          <w:color w:val="262626"/>
          <w:sz w:val="24"/>
          <w:szCs w:val="24"/>
        </w:rPr>
        <w:t xml:space="preserve"> “</w:t>
      </w:r>
      <w:r w:rsidR="00F77733" w:rsidRPr="001838EE">
        <w:rPr>
          <w:i/>
          <w:iCs/>
          <w:color w:val="262626"/>
          <w:sz w:val="24"/>
          <w:szCs w:val="24"/>
        </w:rPr>
        <w:t>la più ampia accezione del concetto di informazione ambientale accessibile, che viene in evidenza anche quando una determinata attività rilevi solo indirettamente rispetto al bene giuridico ambiente assistito, come detto, da una speciale forma di trasparenza e di pubblicità per gli atti e i provvedimenti ad esso riconducibili in via immediata o mediata. Non può essere escluso, pertanto, che accordi o convenzioni tra un soggetto</w:t>
      </w:r>
      <w:r w:rsidR="001838EE" w:rsidRPr="001838EE">
        <w:rPr>
          <w:i/>
          <w:iCs/>
          <w:color w:val="262626"/>
          <w:sz w:val="24"/>
          <w:szCs w:val="24"/>
        </w:rPr>
        <w:t xml:space="preserve"> </w:t>
      </w:r>
      <w:r w:rsidR="00F77733" w:rsidRPr="001838EE">
        <w:rPr>
          <w:i/>
          <w:iCs/>
          <w:color w:val="262626"/>
          <w:sz w:val="24"/>
          <w:szCs w:val="24"/>
        </w:rPr>
        <w:t>operante in ambito accademico e un’impresa notoriamente leader nel settore</w:t>
      </w:r>
      <w:r w:rsidR="001838EE" w:rsidRPr="001838EE">
        <w:rPr>
          <w:i/>
          <w:iCs/>
          <w:color w:val="262626"/>
          <w:sz w:val="24"/>
          <w:szCs w:val="24"/>
        </w:rPr>
        <w:t xml:space="preserve"> </w:t>
      </w:r>
      <w:r w:rsidR="00F77733" w:rsidRPr="001838EE">
        <w:rPr>
          <w:i/>
          <w:iCs/>
          <w:color w:val="262626"/>
          <w:sz w:val="24"/>
          <w:szCs w:val="24"/>
        </w:rPr>
        <w:t>energetico rivestano interesse al fine di rendere pubblici e trasparenti gli</w:t>
      </w:r>
      <w:r w:rsidR="001838EE" w:rsidRPr="001838EE">
        <w:rPr>
          <w:i/>
          <w:iCs/>
          <w:color w:val="262626"/>
          <w:sz w:val="24"/>
          <w:szCs w:val="24"/>
        </w:rPr>
        <w:t xml:space="preserve"> </w:t>
      </w:r>
      <w:r w:rsidR="00F77733" w:rsidRPr="001838EE">
        <w:rPr>
          <w:i/>
          <w:iCs/>
          <w:color w:val="262626"/>
          <w:sz w:val="24"/>
          <w:szCs w:val="24"/>
        </w:rPr>
        <w:t>indirizzi volti a produrre conseguenze in termini di scelte e politiche</w:t>
      </w:r>
      <w:r w:rsidR="001838EE" w:rsidRPr="001838EE">
        <w:rPr>
          <w:i/>
          <w:iCs/>
          <w:color w:val="262626"/>
          <w:sz w:val="24"/>
          <w:szCs w:val="24"/>
        </w:rPr>
        <w:t xml:space="preserve"> </w:t>
      </w:r>
      <w:r w:rsidR="00F77733" w:rsidRPr="001838EE">
        <w:rPr>
          <w:i/>
          <w:iCs/>
          <w:color w:val="262626"/>
          <w:sz w:val="24"/>
          <w:szCs w:val="24"/>
        </w:rPr>
        <w:t>ambientali, che non si vede perché dovrebbero rivestire carattere di</w:t>
      </w:r>
      <w:r w:rsidR="001838EE" w:rsidRPr="001838EE">
        <w:rPr>
          <w:i/>
          <w:iCs/>
          <w:color w:val="262626"/>
          <w:sz w:val="24"/>
          <w:szCs w:val="24"/>
        </w:rPr>
        <w:t xml:space="preserve"> </w:t>
      </w:r>
      <w:r w:rsidR="00F77733" w:rsidRPr="001838EE">
        <w:rPr>
          <w:i/>
          <w:iCs/>
          <w:color w:val="262626"/>
          <w:sz w:val="24"/>
          <w:szCs w:val="24"/>
        </w:rPr>
        <w:t>riservatezza”</w:t>
      </w:r>
      <w:r w:rsidR="00F77733" w:rsidRPr="001838EE">
        <w:rPr>
          <w:color w:val="262626"/>
          <w:sz w:val="24"/>
          <w:szCs w:val="24"/>
        </w:rPr>
        <w:t>.</w:t>
      </w:r>
      <w:r w:rsidR="00F77733" w:rsidRPr="001838EE">
        <w:rPr>
          <w:color w:val="262626"/>
          <w:sz w:val="24"/>
          <w:szCs w:val="24"/>
          <w:highlight w:val="yellow"/>
        </w:rPr>
        <w:t xml:space="preserve"> </w:t>
      </w:r>
    </w:p>
    <w:p w14:paraId="7E03695C" w14:textId="11D20572" w:rsidR="00F230D1" w:rsidRPr="00F230D1" w:rsidRDefault="00F230D1" w:rsidP="00F230D1">
      <w:pPr>
        <w:spacing w:before="280" w:after="240" w:line="240" w:lineRule="auto"/>
        <w:rPr>
          <w:color w:val="262626"/>
          <w:sz w:val="24"/>
          <w:szCs w:val="24"/>
        </w:rPr>
      </w:pPr>
      <w:r w:rsidRPr="00F230D1">
        <w:rPr>
          <w:color w:val="262626"/>
          <w:sz w:val="24"/>
          <w:szCs w:val="24"/>
        </w:rPr>
        <w:t xml:space="preserve">●      Per mero scrupolo, si segnala che informazioni della stessa entità sono già state richieste e ottenute presso altre Università. In particolare, volontari e volontarie </w:t>
      </w:r>
      <w:r w:rsidRPr="00F230D1">
        <w:rPr>
          <w:color w:val="262626"/>
          <w:sz w:val="24"/>
          <w:szCs w:val="24"/>
        </w:rPr>
        <w:lastRenderedPageBreak/>
        <w:t xml:space="preserve">di Greenpeace onlus – identificatisi come cittadini e non come membri della suddetta onlus - </w:t>
      </w:r>
      <w:hyperlink r:id="rId10" w:history="1">
        <w:r w:rsidRPr="00F230D1">
          <w:rPr>
            <w:rStyle w:val="Collegamentoipertestuale"/>
            <w:sz w:val="24"/>
            <w:szCs w:val="24"/>
          </w:rPr>
          <w:t>hanno chiesto e ottenuto nel corso del 2020 – 2021 i documenti oggetto della presente richiesta da numerosi atenei italiani</w:t>
        </w:r>
      </w:hyperlink>
      <w:r w:rsidRPr="00F230D1">
        <w:rPr>
          <w:color w:val="262626"/>
          <w:sz w:val="24"/>
          <w:szCs w:val="24"/>
        </w:rPr>
        <w:t>.</w:t>
      </w:r>
    </w:p>
    <w:p w14:paraId="0000001C" w14:textId="6717256B" w:rsidR="003E47B4" w:rsidRDefault="00000000">
      <w:pPr>
        <w:spacing w:before="280" w:after="240" w:line="240" w:lineRule="auto"/>
        <w:jc w:val="center"/>
        <w:rPr>
          <w:color w:val="222222"/>
          <w:sz w:val="24"/>
          <w:szCs w:val="24"/>
        </w:rPr>
      </w:pPr>
      <w:r>
        <w:rPr>
          <w:color w:val="222222"/>
          <w:sz w:val="28"/>
          <w:szCs w:val="28"/>
        </w:rPr>
        <w:t>CHIEDE</w:t>
      </w:r>
    </w:p>
    <w:p w14:paraId="0000001D" w14:textId="2B36AB01" w:rsidR="003E47B4" w:rsidRDefault="00000000">
      <w:pPr>
        <w:spacing w:before="280" w:after="240" w:line="240" w:lineRule="auto"/>
        <w:jc w:val="both"/>
        <w:rPr>
          <w:color w:val="222222"/>
          <w:sz w:val="24"/>
          <w:szCs w:val="24"/>
        </w:rPr>
      </w:pPr>
      <w:r>
        <w:rPr>
          <w:color w:val="222222"/>
          <w:sz w:val="24"/>
          <w:szCs w:val="24"/>
        </w:rPr>
        <w:t>Ai sensi dell’art. 5 comma 2 del D. Lgs 33/2013, come modificato dal D. Lgs 97/2016, </w:t>
      </w:r>
      <w:r>
        <w:rPr>
          <w:color w:val="262626"/>
          <w:sz w:val="24"/>
          <w:szCs w:val="24"/>
        </w:rPr>
        <w:t>e della legge 195/2005, </w:t>
      </w:r>
      <w:r>
        <w:rPr>
          <w:color w:val="222222"/>
          <w:sz w:val="24"/>
          <w:szCs w:val="24"/>
        </w:rPr>
        <w:t>l'accesso ai documenti/dati/informazioni sottoindicati - come hanno già fatto diversi altri enti Voi paritari - comunicando gli uffici presso i quali tali documenti sono conservati e i funzionari responsabili degli stessi, con facoltà di prenderne visione e di estrarne copia:</w:t>
      </w:r>
    </w:p>
    <w:p w14:paraId="0000001E" w14:textId="77777777" w:rsidR="003E47B4" w:rsidRDefault="00000000">
      <w:pPr>
        <w:numPr>
          <w:ilvl w:val="0"/>
          <w:numId w:val="1"/>
        </w:numPr>
        <w:spacing w:before="280" w:line="240" w:lineRule="auto"/>
        <w:jc w:val="both"/>
        <w:rPr>
          <w:color w:val="222222"/>
          <w:sz w:val="24"/>
          <w:szCs w:val="24"/>
        </w:rPr>
      </w:pPr>
      <w:r>
        <w:rPr>
          <w:color w:val="222222"/>
          <w:sz w:val="24"/>
          <w:szCs w:val="24"/>
        </w:rPr>
        <w:t>documentazione attestante “accordi quadro” a valenza triennale o quadriennale (o altra durata), “contratti applicativi”, nonché “convenzioni” e “accordi di collaborazione” stipulati negli ultimi cinque anni dalla presente Università con le seguenti aziende/fondazioni:</w:t>
      </w:r>
    </w:p>
    <w:p w14:paraId="0000001F" w14:textId="77777777" w:rsidR="003E47B4" w:rsidRDefault="00000000">
      <w:pPr>
        <w:numPr>
          <w:ilvl w:val="0"/>
          <w:numId w:val="5"/>
        </w:numPr>
        <w:spacing w:after="240" w:line="240" w:lineRule="auto"/>
        <w:ind w:left="992" w:hanging="283"/>
        <w:jc w:val="both"/>
        <w:rPr>
          <w:color w:val="222222"/>
          <w:sz w:val="24"/>
          <w:szCs w:val="24"/>
        </w:rPr>
      </w:pPr>
      <w:r>
        <w:rPr>
          <w:color w:val="222222"/>
          <w:sz w:val="24"/>
          <w:szCs w:val="24"/>
        </w:rPr>
        <w:t>Eni S.p.A.</w:t>
      </w:r>
    </w:p>
    <w:p w14:paraId="00000020" w14:textId="77777777" w:rsidR="003E47B4" w:rsidRDefault="00000000">
      <w:pPr>
        <w:spacing w:before="280" w:after="240" w:line="240" w:lineRule="auto"/>
        <w:ind w:left="720"/>
        <w:jc w:val="both"/>
        <w:rPr>
          <w:color w:val="222222"/>
          <w:sz w:val="24"/>
          <w:szCs w:val="24"/>
        </w:rPr>
      </w:pPr>
      <w:r>
        <w:rPr>
          <w:color w:val="222222"/>
          <w:sz w:val="24"/>
          <w:szCs w:val="24"/>
        </w:rPr>
        <w:t xml:space="preserve">2. </w:t>
      </w:r>
      <w:proofErr w:type="spellStart"/>
      <w:r>
        <w:rPr>
          <w:color w:val="222222"/>
          <w:sz w:val="24"/>
          <w:szCs w:val="24"/>
        </w:rPr>
        <w:t>Versalis</w:t>
      </w:r>
      <w:proofErr w:type="spellEnd"/>
      <w:r>
        <w:rPr>
          <w:color w:val="222222"/>
          <w:sz w:val="24"/>
          <w:szCs w:val="24"/>
        </w:rPr>
        <w:t xml:space="preserve"> S.p.A.</w:t>
      </w:r>
    </w:p>
    <w:p w14:paraId="00000021" w14:textId="77777777" w:rsidR="003E47B4" w:rsidRDefault="00000000">
      <w:pPr>
        <w:spacing w:before="280" w:after="240" w:line="240" w:lineRule="auto"/>
        <w:ind w:left="720"/>
        <w:jc w:val="both"/>
        <w:rPr>
          <w:color w:val="222222"/>
          <w:sz w:val="24"/>
          <w:szCs w:val="24"/>
        </w:rPr>
      </w:pPr>
      <w:r>
        <w:rPr>
          <w:color w:val="222222"/>
          <w:sz w:val="24"/>
          <w:szCs w:val="24"/>
        </w:rPr>
        <w:t xml:space="preserve">3. Eni </w:t>
      </w:r>
      <w:proofErr w:type="spellStart"/>
      <w:r>
        <w:rPr>
          <w:color w:val="222222"/>
          <w:sz w:val="24"/>
          <w:szCs w:val="24"/>
        </w:rPr>
        <w:t>Plenitude</w:t>
      </w:r>
      <w:proofErr w:type="spellEnd"/>
    </w:p>
    <w:p w14:paraId="00000022" w14:textId="77777777" w:rsidR="003E47B4" w:rsidRPr="00F77733" w:rsidRDefault="00000000">
      <w:pPr>
        <w:spacing w:before="280" w:after="240" w:line="240" w:lineRule="auto"/>
        <w:ind w:left="720"/>
        <w:jc w:val="both"/>
        <w:rPr>
          <w:color w:val="222222"/>
          <w:sz w:val="24"/>
          <w:szCs w:val="24"/>
        </w:rPr>
      </w:pPr>
      <w:r w:rsidRPr="00F77733">
        <w:rPr>
          <w:color w:val="222222"/>
          <w:sz w:val="24"/>
          <w:szCs w:val="24"/>
        </w:rPr>
        <w:t xml:space="preserve">4. Eni Rewind </w:t>
      </w:r>
      <w:proofErr w:type="spellStart"/>
      <w:r w:rsidRPr="00F77733">
        <w:rPr>
          <w:color w:val="222222"/>
          <w:sz w:val="24"/>
          <w:szCs w:val="24"/>
        </w:rPr>
        <w:t>S.p.A</w:t>
      </w:r>
      <w:proofErr w:type="spellEnd"/>
      <w:r w:rsidRPr="00F77733">
        <w:rPr>
          <w:color w:val="222222"/>
          <w:sz w:val="24"/>
          <w:szCs w:val="24"/>
        </w:rPr>
        <w:t xml:space="preserve"> (ex Syndial </w:t>
      </w:r>
      <w:proofErr w:type="spellStart"/>
      <w:r w:rsidRPr="00F77733">
        <w:rPr>
          <w:color w:val="222222"/>
          <w:sz w:val="24"/>
          <w:szCs w:val="24"/>
        </w:rPr>
        <w:t>S.p.A</w:t>
      </w:r>
      <w:proofErr w:type="spellEnd"/>
      <w:r w:rsidRPr="00F77733">
        <w:rPr>
          <w:color w:val="222222"/>
          <w:sz w:val="24"/>
          <w:szCs w:val="24"/>
        </w:rPr>
        <w:t>)</w:t>
      </w:r>
    </w:p>
    <w:p w14:paraId="00000023" w14:textId="77777777" w:rsidR="003E47B4" w:rsidRDefault="00000000">
      <w:pPr>
        <w:spacing w:before="280" w:after="240" w:line="240" w:lineRule="auto"/>
        <w:ind w:left="720"/>
        <w:jc w:val="both"/>
        <w:rPr>
          <w:color w:val="222222"/>
          <w:sz w:val="24"/>
          <w:szCs w:val="24"/>
        </w:rPr>
      </w:pPr>
      <w:r>
        <w:rPr>
          <w:color w:val="222222"/>
          <w:sz w:val="24"/>
          <w:szCs w:val="24"/>
        </w:rPr>
        <w:t>5. Eni Corporate University S.p.A. (ECU)</w:t>
      </w:r>
    </w:p>
    <w:p w14:paraId="00000025" w14:textId="6B4B0713" w:rsidR="003E47B4" w:rsidRDefault="00000000" w:rsidP="004944C9">
      <w:pPr>
        <w:spacing w:before="280" w:after="240" w:line="240" w:lineRule="auto"/>
        <w:ind w:left="720"/>
        <w:jc w:val="both"/>
        <w:rPr>
          <w:color w:val="222222"/>
          <w:sz w:val="24"/>
          <w:szCs w:val="24"/>
        </w:rPr>
      </w:pPr>
      <w:r>
        <w:rPr>
          <w:color w:val="222222"/>
          <w:sz w:val="24"/>
          <w:szCs w:val="24"/>
        </w:rPr>
        <w:t>6. Fondazione Eni Enrico Mattei (FEEM)</w:t>
      </w:r>
    </w:p>
    <w:p w14:paraId="00000026" w14:textId="77777777" w:rsidR="003E47B4" w:rsidRDefault="00000000">
      <w:pPr>
        <w:numPr>
          <w:ilvl w:val="0"/>
          <w:numId w:val="1"/>
        </w:numPr>
        <w:spacing w:before="280" w:after="240" w:line="240" w:lineRule="auto"/>
        <w:jc w:val="both"/>
        <w:rPr>
          <w:color w:val="222222"/>
          <w:sz w:val="24"/>
          <w:szCs w:val="24"/>
        </w:rPr>
      </w:pPr>
      <w:r>
        <w:rPr>
          <w:color w:val="222222"/>
          <w:sz w:val="24"/>
          <w:szCs w:val="24"/>
        </w:rPr>
        <w:t>documentazione attestante eventuali importi economici (e nello specifico somma dei finanziamenti divisi per azienda e, laddove possibile, divisi per progetto o annualità) ricevuti dalla suddetta Università negli ultimi cinque anni da parte delle seguenti aziende/fondazioni:</w:t>
      </w:r>
    </w:p>
    <w:p w14:paraId="00000027" w14:textId="77777777" w:rsidR="003E47B4" w:rsidRDefault="00000000">
      <w:pPr>
        <w:spacing w:before="280" w:after="240" w:line="240" w:lineRule="auto"/>
        <w:ind w:firstLine="720"/>
        <w:jc w:val="both"/>
        <w:rPr>
          <w:color w:val="222222"/>
          <w:sz w:val="24"/>
          <w:szCs w:val="24"/>
        </w:rPr>
      </w:pPr>
      <w:r>
        <w:rPr>
          <w:color w:val="222222"/>
          <w:sz w:val="24"/>
          <w:szCs w:val="24"/>
        </w:rPr>
        <w:t>1. Eni S.p.A.</w:t>
      </w:r>
    </w:p>
    <w:p w14:paraId="00000028" w14:textId="77777777" w:rsidR="003E47B4" w:rsidRDefault="00000000">
      <w:pPr>
        <w:spacing w:before="280" w:after="240" w:line="240" w:lineRule="auto"/>
        <w:ind w:left="720"/>
        <w:jc w:val="both"/>
        <w:rPr>
          <w:color w:val="222222"/>
          <w:sz w:val="24"/>
          <w:szCs w:val="24"/>
        </w:rPr>
      </w:pPr>
      <w:r>
        <w:rPr>
          <w:color w:val="222222"/>
          <w:sz w:val="24"/>
          <w:szCs w:val="24"/>
        </w:rPr>
        <w:t xml:space="preserve">2. </w:t>
      </w:r>
      <w:proofErr w:type="spellStart"/>
      <w:r>
        <w:rPr>
          <w:color w:val="222222"/>
          <w:sz w:val="24"/>
          <w:szCs w:val="24"/>
        </w:rPr>
        <w:t>Versalis</w:t>
      </w:r>
      <w:proofErr w:type="spellEnd"/>
      <w:r>
        <w:rPr>
          <w:color w:val="222222"/>
          <w:sz w:val="24"/>
          <w:szCs w:val="24"/>
        </w:rPr>
        <w:t xml:space="preserve"> S.p.A.</w:t>
      </w:r>
    </w:p>
    <w:p w14:paraId="00000029" w14:textId="77777777" w:rsidR="003E47B4" w:rsidRDefault="00000000">
      <w:pPr>
        <w:spacing w:before="280" w:after="240" w:line="240" w:lineRule="auto"/>
        <w:ind w:left="720"/>
        <w:jc w:val="both"/>
        <w:rPr>
          <w:color w:val="222222"/>
          <w:sz w:val="24"/>
          <w:szCs w:val="24"/>
        </w:rPr>
      </w:pPr>
      <w:r>
        <w:rPr>
          <w:color w:val="222222"/>
          <w:sz w:val="24"/>
          <w:szCs w:val="24"/>
        </w:rPr>
        <w:t xml:space="preserve">3. Eni </w:t>
      </w:r>
      <w:proofErr w:type="spellStart"/>
      <w:r>
        <w:rPr>
          <w:color w:val="222222"/>
          <w:sz w:val="24"/>
          <w:szCs w:val="24"/>
        </w:rPr>
        <w:t>Plenitude</w:t>
      </w:r>
      <w:proofErr w:type="spellEnd"/>
    </w:p>
    <w:p w14:paraId="0000002A" w14:textId="77777777" w:rsidR="003E47B4" w:rsidRDefault="00000000">
      <w:pPr>
        <w:spacing w:before="280" w:after="240" w:line="240" w:lineRule="auto"/>
        <w:ind w:left="720"/>
        <w:jc w:val="both"/>
        <w:rPr>
          <w:color w:val="222222"/>
          <w:sz w:val="24"/>
          <w:szCs w:val="24"/>
        </w:rPr>
      </w:pPr>
      <w:r>
        <w:rPr>
          <w:color w:val="222222"/>
          <w:sz w:val="24"/>
          <w:szCs w:val="24"/>
        </w:rPr>
        <w:t xml:space="preserve">4. Eni Rewind </w:t>
      </w:r>
      <w:proofErr w:type="spellStart"/>
      <w:r>
        <w:rPr>
          <w:color w:val="222222"/>
          <w:sz w:val="24"/>
          <w:szCs w:val="24"/>
        </w:rPr>
        <w:t>S.p.A</w:t>
      </w:r>
      <w:proofErr w:type="spellEnd"/>
      <w:r>
        <w:rPr>
          <w:color w:val="222222"/>
          <w:sz w:val="24"/>
          <w:szCs w:val="24"/>
        </w:rPr>
        <w:t xml:space="preserve"> (ex Syndial </w:t>
      </w:r>
      <w:proofErr w:type="spellStart"/>
      <w:r>
        <w:rPr>
          <w:color w:val="222222"/>
          <w:sz w:val="24"/>
          <w:szCs w:val="24"/>
        </w:rPr>
        <w:t>S.p.A</w:t>
      </w:r>
      <w:proofErr w:type="spellEnd"/>
      <w:r>
        <w:rPr>
          <w:color w:val="222222"/>
          <w:sz w:val="24"/>
          <w:szCs w:val="24"/>
        </w:rPr>
        <w:t>)</w:t>
      </w:r>
    </w:p>
    <w:p w14:paraId="0000002B" w14:textId="77777777" w:rsidR="003E47B4" w:rsidRDefault="00000000">
      <w:pPr>
        <w:spacing w:before="280" w:after="240" w:line="240" w:lineRule="auto"/>
        <w:ind w:left="720"/>
        <w:jc w:val="both"/>
        <w:rPr>
          <w:color w:val="222222"/>
          <w:sz w:val="24"/>
          <w:szCs w:val="24"/>
        </w:rPr>
      </w:pPr>
      <w:r>
        <w:rPr>
          <w:color w:val="222222"/>
          <w:sz w:val="24"/>
          <w:szCs w:val="24"/>
        </w:rPr>
        <w:t>5. Eni Corporate University S.p.A. (ECU)</w:t>
      </w:r>
    </w:p>
    <w:p w14:paraId="0000002D" w14:textId="385B4935" w:rsidR="003E47B4" w:rsidRPr="004944C9" w:rsidRDefault="00000000" w:rsidP="004944C9">
      <w:pPr>
        <w:spacing w:before="280" w:after="240" w:line="240" w:lineRule="auto"/>
        <w:ind w:left="720"/>
        <w:jc w:val="both"/>
        <w:rPr>
          <w:color w:val="222222"/>
          <w:sz w:val="24"/>
          <w:szCs w:val="24"/>
        </w:rPr>
      </w:pPr>
      <w:r>
        <w:rPr>
          <w:color w:val="222222"/>
          <w:sz w:val="24"/>
          <w:szCs w:val="24"/>
        </w:rPr>
        <w:t>6. Fondazione Eni Enrico Mattei (FEEM)</w:t>
      </w:r>
    </w:p>
    <w:p w14:paraId="0000002E" w14:textId="21143FE9" w:rsidR="003E47B4" w:rsidRPr="00F230D1" w:rsidRDefault="00000000">
      <w:pPr>
        <w:spacing w:before="280" w:after="240" w:line="240" w:lineRule="auto"/>
        <w:jc w:val="both"/>
        <w:rPr>
          <w:color w:val="222222"/>
          <w:sz w:val="24"/>
          <w:szCs w:val="24"/>
        </w:rPr>
      </w:pPr>
      <w:r w:rsidRPr="00F230D1">
        <w:rPr>
          <w:color w:val="222222"/>
          <w:sz w:val="24"/>
          <w:szCs w:val="24"/>
        </w:rPr>
        <w:t xml:space="preserve">Nel caso in cui la trasmissione dei suddetti atti/documenti/informazioni di cui sopra risultasse troppo onerosa per la pubblica amministrazione in termini di tempo e costi di elaborazione, si chiede tale documentazione </w:t>
      </w:r>
      <w:r w:rsidRPr="00F230D1">
        <w:rPr>
          <w:b/>
          <w:color w:val="222222"/>
          <w:sz w:val="24"/>
          <w:szCs w:val="24"/>
          <w:u w:val="single"/>
        </w:rPr>
        <w:t>limitatamente agli ultimi tre anni, dando priorità ai documenti in corso nelle annualità 2022-2023</w:t>
      </w:r>
      <w:r w:rsidRPr="00F230D1">
        <w:rPr>
          <w:color w:val="222222"/>
          <w:sz w:val="24"/>
          <w:szCs w:val="24"/>
        </w:rPr>
        <w:t>.</w:t>
      </w:r>
    </w:p>
    <w:p w14:paraId="0000002F" w14:textId="77777777" w:rsidR="003E47B4" w:rsidRDefault="00000000">
      <w:pPr>
        <w:spacing w:before="280" w:after="240" w:line="240" w:lineRule="auto"/>
        <w:jc w:val="both"/>
        <w:rPr>
          <w:color w:val="222222"/>
          <w:sz w:val="24"/>
          <w:szCs w:val="24"/>
        </w:rPr>
      </w:pPr>
      <w:r>
        <w:rPr>
          <w:color w:val="222222"/>
          <w:sz w:val="24"/>
          <w:szCs w:val="24"/>
        </w:rPr>
        <w:lastRenderedPageBreak/>
        <w:t>Ove disponibile, si richiede l’invio di copia preferibilmente elettronica e in formato aperto e processabile (ad esempio .</w:t>
      </w:r>
      <w:proofErr w:type="spellStart"/>
      <w:r>
        <w:rPr>
          <w:color w:val="222222"/>
          <w:sz w:val="24"/>
          <w:szCs w:val="24"/>
        </w:rPr>
        <w:t>xls</w:t>
      </w:r>
      <w:proofErr w:type="spellEnd"/>
      <w:r>
        <w:rPr>
          <w:color w:val="222222"/>
          <w:sz w:val="24"/>
          <w:szCs w:val="24"/>
        </w:rPr>
        <w:t>, .</w:t>
      </w:r>
      <w:proofErr w:type="spellStart"/>
      <w:r>
        <w:rPr>
          <w:color w:val="222222"/>
          <w:sz w:val="24"/>
          <w:szCs w:val="24"/>
        </w:rPr>
        <w:t>xlsx</w:t>
      </w:r>
      <w:proofErr w:type="spellEnd"/>
      <w:r>
        <w:rPr>
          <w:color w:val="222222"/>
          <w:sz w:val="24"/>
          <w:szCs w:val="24"/>
        </w:rPr>
        <w:t>, .csv).</w:t>
      </w:r>
    </w:p>
    <w:p w14:paraId="00000030" w14:textId="77777777" w:rsidR="003E47B4" w:rsidRDefault="00000000">
      <w:pPr>
        <w:spacing w:before="280" w:after="240" w:line="240" w:lineRule="auto"/>
        <w:jc w:val="both"/>
        <w:rPr>
          <w:color w:val="222222"/>
          <w:sz w:val="24"/>
          <w:szCs w:val="24"/>
        </w:rPr>
      </w:pPr>
      <w:r>
        <w:rPr>
          <w:color w:val="222222"/>
          <w:sz w:val="24"/>
          <w:szCs w:val="24"/>
        </w:rPr>
        <w:t>Qualora nel documento e nei dati richiesti siano presenti dati sensibili, si prega di oscurarli e di garantire l’accesso alle altre parti del documento come previsto dall’art. 5-bis, comma 4, secondo alinea del decreto 33/2013.</w:t>
      </w:r>
    </w:p>
    <w:p w14:paraId="00000031" w14:textId="77777777" w:rsidR="003E47B4" w:rsidRDefault="00000000">
      <w:pPr>
        <w:spacing w:before="280" w:after="240" w:line="240" w:lineRule="auto"/>
        <w:jc w:val="both"/>
        <w:rPr>
          <w:color w:val="222222"/>
          <w:sz w:val="24"/>
          <w:szCs w:val="24"/>
        </w:rPr>
      </w:pPr>
      <w:r>
        <w:rPr>
          <w:color w:val="222222"/>
          <w:sz w:val="24"/>
          <w:szCs w:val="24"/>
        </w:rPr>
        <w:t>Qualora l’ufficio non sia in possesso di questa informazione, si prega di inoltrare la presente richiesta all’ufficio di competenza.</w:t>
      </w:r>
    </w:p>
    <w:p w14:paraId="00000032" w14:textId="77777777" w:rsidR="003E47B4" w:rsidRDefault="00000000">
      <w:pPr>
        <w:spacing w:before="280" w:after="240" w:line="240" w:lineRule="auto"/>
        <w:jc w:val="both"/>
        <w:rPr>
          <w:color w:val="222222"/>
          <w:sz w:val="24"/>
          <w:szCs w:val="24"/>
        </w:rPr>
      </w:pPr>
      <w:r>
        <w:rPr>
          <w:color w:val="222222"/>
          <w:sz w:val="24"/>
          <w:szCs w:val="24"/>
        </w:rPr>
        <w:t>La presente riveste carattere di urgenza.</w:t>
      </w:r>
    </w:p>
    <w:p w14:paraId="00000033" w14:textId="77777777" w:rsidR="003E47B4" w:rsidRDefault="00000000">
      <w:pPr>
        <w:spacing w:before="280" w:after="240" w:line="240" w:lineRule="auto"/>
        <w:jc w:val="both"/>
        <w:rPr>
          <w:color w:val="222222"/>
          <w:sz w:val="24"/>
          <w:szCs w:val="24"/>
        </w:rPr>
      </w:pPr>
      <w:r>
        <w:rPr>
          <w:color w:val="222222"/>
          <w:sz w:val="24"/>
          <w:szCs w:val="24"/>
        </w:rPr>
        <w:t>Con espressa richiesta di iscrizione a protocollo della presente e di rilascio di copia attestante la data di ricevimento ed il numero di protocollo assegnato.</w:t>
      </w:r>
    </w:p>
    <w:p w14:paraId="00000034" w14:textId="77777777" w:rsidR="003E47B4" w:rsidRDefault="00000000">
      <w:pPr>
        <w:spacing w:before="280" w:after="240" w:line="240" w:lineRule="auto"/>
        <w:jc w:val="both"/>
        <w:rPr>
          <w:color w:val="222222"/>
          <w:sz w:val="24"/>
          <w:szCs w:val="24"/>
        </w:rPr>
      </w:pPr>
      <w:r>
        <w:rPr>
          <w:color w:val="222222"/>
          <w:sz w:val="24"/>
          <w:szCs w:val="24"/>
        </w:rPr>
        <w:t>Il sottoscritto avverte che in caso di diniego della richiesta di autorizzazione e, comunque, decorsi trenta giorni dalla presentazione della presente istanza senza che l'amministrazione si sia pronunciata, si procederà a norma di legge.</w:t>
      </w:r>
    </w:p>
    <w:p w14:paraId="00000035" w14:textId="77777777" w:rsidR="003E47B4" w:rsidRDefault="00000000">
      <w:pPr>
        <w:spacing w:before="280" w:after="240" w:line="240" w:lineRule="auto"/>
        <w:jc w:val="both"/>
        <w:rPr>
          <w:color w:val="222222"/>
          <w:sz w:val="24"/>
          <w:szCs w:val="24"/>
        </w:rPr>
      </w:pPr>
      <w:r>
        <w:rPr>
          <w:color w:val="222222"/>
          <w:sz w:val="24"/>
          <w:szCs w:val="24"/>
        </w:rPr>
        <w:t>La presente viene inoltrata anche come diffida ai sensi e per gli effetti di cui all'art. 328 c.p. che punisce con la reclusione fino ad un anno e con la multa fino a euro 1.032 il Pubblico Ufficiale o l'incaricato di pubblico servizio che entro trenta giorni dalla richiesta non compie l'atto del suo ufficio e non risponde per esporre le ragioni del ritardo.</w:t>
      </w:r>
    </w:p>
    <w:p w14:paraId="00000036" w14:textId="77777777" w:rsidR="003E47B4" w:rsidRDefault="00000000">
      <w:pPr>
        <w:spacing w:before="280" w:after="240" w:line="240" w:lineRule="auto"/>
        <w:jc w:val="both"/>
        <w:rPr>
          <w:color w:val="222222"/>
          <w:sz w:val="24"/>
          <w:szCs w:val="24"/>
        </w:rPr>
      </w:pPr>
      <w:r>
        <w:rPr>
          <w:color w:val="222222"/>
          <w:sz w:val="24"/>
          <w:szCs w:val="24"/>
        </w:rPr>
        <w:t>Si allega copia della carta d'identità dell'istante.</w:t>
      </w:r>
    </w:p>
    <w:p w14:paraId="00000037" w14:textId="77777777" w:rsidR="003E47B4" w:rsidRDefault="003E47B4">
      <w:pPr>
        <w:spacing w:before="280" w:after="240" w:line="240" w:lineRule="auto"/>
        <w:jc w:val="both"/>
        <w:rPr>
          <w:color w:val="222222"/>
          <w:sz w:val="24"/>
          <w:szCs w:val="24"/>
        </w:rPr>
      </w:pPr>
    </w:p>
    <w:p w14:paraId="00000038" w14:textId="77777777" w:rsidR="003E47B4" w:rsidRDefault="00000000">
      <w:pPr>
        <w:spacing w:before="280" w:after="240" w:line="240" w:lineRule="auto"/>
        <w:jc w:val="both"/>
        <w:rPr>
          <w:color w:val="222222"/>
          <w:sz w:val="24"/>
          <w:szCs w:val="24"/>
        </w:rPr>
      </w:pPr>
      <w:r>
        <w:rPr>
          <w:color w:val="222222"/>
          <w:sz w:val="24"/>
          <w:szCs w:val="24"/>
        </w:rPr>
        <w:t xml:space="preserve">Per comunicazioni via posta elettronica PEC, si prega di utilizzare l’indirizzo: </w:t>
      </w:r>
      <w:r>
        <w:rPr>
          <w:color w:val="222222"/>
          <w:sz w:val="24"/>
          <w:szCs w:val="24"/>
          <w:highlight w:val="yellow"/>
        </w:rPr>
        <w:t>[INSERIRE INDIRIZZO PEC SE DISPONIBILE]</w:t>
      </w:r>
    </w:p>
    <w:p w14:paraId="00000039" w14:textId="77777777" w:rsidR="003E47B4" w:rsidRDefault="00000000">
      <w:pPr>
        <w:spacing w:before="280" w:after="240" w:line="240" w:lineRule="auto"/>
        <w:jc w:val="both"/>
        <w:rPr>
          <w:color w:val="222222"/>
          <w:sz w:val="24"/>
          <w:szCs w:val="24"/>
        </w:rPr>
      </w:pPr>
      <w:r>
        <w:rPr>
          <w:color w:val="222222"/>
          <w:sz w:val="24"/>
          <w:szCs w:val="24"/>
        </w:rPr>
        <w:t>Per comunicazioni via posta elettronica, si prega di utilizzare l’indirizzo:</w:t>
      </w:r>
      <w:r>
        <w:rPr>
          <w:color w:val="222222"/>
          <w:sz w:val="24"/>
          <w:szCs w:val="24"/>
          <w:highlight w:val="yellow"/>
        </w:rPr>
        <w:t xml:space="preserve"> [INSERIRE INDIRIZZO POSTA ELETTRONICA DEL RICHIEDENTE]</w:t>
      </w:r>
    </w:p>
    <w:p w14:paraId="0000003A" w14:textId="77777777" w:rsidR="003E47B4" w:rsidRDefault="00000000">
      <w:pPr>
        <w:spacing w:before="280" w:after="240" w:line="240" w:lineRule="auto"/>
        <w:jc w:val="both"/>
        <w:rPr>
          <w:color w:val="222222"/>
          <w:sz w:val="24"/>
          <w:szCs w:val="24"/>
        </w:rPr>
      </w:pPr>
      <w:r>
        <w:rPr>
          <w:color w:val="222222"/>
          <w:sz w:val="24"/>
          <w:szCs w:val="24"/>
        </w:rPr>
        <w:t>Per comunicazioni via telefono, si prega di chiamare il numero:</w:t>
      </w:r>
      <w:r>
        <w:rPr>
          <w:color w:val="222222"/>
          <w:sz w:val="24"/>
          <w:szCs w:val="24"/>
          <w:highlight w:val="yellow"/>
        </w:rPr>
        <w:t xml:space="preserve"> [INSERIRE NUMERO DI CELLULARE DEL RICHIEDENTE]</w:t>
      </w:r>
    </w:p>
    <w:p w14:paraId="0000003B" w14:textId="77777777" w:rsidR="003E47B4" w:rsidRDefault="003E47B4">
      <w:pPr>
        <w:spacing w:before="280" w:after="240" w:line="240" w:lineRule="auto"/>
        <w:jc w:val="both"/>
        <w:rPr>
          <w:color w:val="222222"/>
          <w:sz w:val="24"/>
          <w:szCs w:val="24"/>
        </w:rPr>
      </w:pPr>
    </w:p>
    <w:p w14:paraId="0000003C" w14:textId="77777777" w:rsidR="003E47B4" w:rsidRDefault="003E47B4">
      <w:pPr>
        <w:spacing w:before="280" w:after="240" w:line="240" w:lineRule="auto"/>
        <w:jc w:val="both"/>
        <w:rPr>
          <w:color w:val="222222"/>
          <w:sz w:val="24"/>
          <w:szCs w:val="24"/>
          <w:highlight w:val="yellow"/>
        </w:rPr>
      </w:pPr>
    </w:p>
    <w:p w14:paraId="0000003D" w14:textId="77777777" w:rsidR="003E47B4" w:rsidRDefault="003E47B4">
      <w:pPr>
        <w:spacing w:before="280" w:after="240" w:line="240" w:lineRule="auto"/>
        <w:jc w:val="right"/>
        <w:rPr>
          <w:color w:val="222222"/>
          <w:sz w:val="24"/>
          <w:szCs w:val="24"/>
          <w:highlight w:val="yellow"/>
        </w:rPr>
      </w:pPr>
    </w:p>
    <w:p w14:paraId="0000003E" w14:textId="77777777" w:rsidR="003E47B4" w:rsidRDefault="00000000">
      <w:pPr>
        <w:spacing w:before="280" w:after="240" w:line="240" w:lineRule="auto"/>
        <w:jc w:val="right"/>
        <w:rPr>
          <w:color w:val="222222"/>
          <w:sz w:val="24"/>
          <w:szCs w:val="24"/>
          <w:highlight w:val="yellow"/>
        </w:rPr>
      </w:pPr>
      <w:r>
        <w:rPr>
          <w:color w:val="222222"/>
          <w:sz w:val="24"/>
          <w:szCs w:val="24"/>
          <w:highlight w:val="yellow"/>
        </w:rPr>
        <w:t>[DATA, LUOGO]</w:t>
      </w:r>
    </w:p>
    <w:p w14:paraId="0000003F" w14:textId="77777777" w:rsidR="003E47B4" w:rsidRDefault="00000000">
      <w:pPr>
        <w:spacing w:before="280" w:after="240" w:line="240" w:lineRule="auto"/>
        <w:jc w:val="right"/>
        <w:rPr>
          <w:color w:val="222222"/>
          <w:sz w:val="24"/>
          <w:szCs w:val="24"/>
          <w:highlight w:val="yellow"/>
        </w:rPr>
      </w:pPr>
      <w:r>
        <w:rPr>
          <w:color w:val="222222"/>
          <w:sz w:val="24"/>
          <w:szCs w:val="24"/>
          <w:highlight w:val="yellow"/>
        </w:rPr>
        <w:t>[FIRMA]</w:t>
      </w:r>
    </w:p>
    <w:p w14:paraId="00000040" w14:textId="77777777" w:rsidR="003E47B4" w:rsidRDefault="003E47B4">
      <w:pPr>
        <w:spacing w:before="280" w:after="240" w:line="240" w:lineRule="auto"/>
        <w:jc w:val="both"/>
        <w:rPr>
          <w:sz w:val="24"/>
          <w:szCs w:val="24"/>
        </w:rPr>
      </w:pPr>
    </w:p>
    <w:p w14:paraId="00000041" w14:textId="77777777" w:rsidR="003E47B4" w:rsidRDefault="003E47B4">
      <w:pPr>
        <w:spacing w:line="240" w:lineRule="auto"/>
        <w:rPr>
          <w:sz w:val="24"/>
          <w:szCs w:val="24"/>
        </w:rPr>
      </w:pPr>
    </w:p>
    <w:sectPr w:rsidR="003E47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145"/>
    <w:multiLevelType w:val="multilevel"/>
    <w:tmpl w:val="632E5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07A86"/>
    <w:multiLevelType w:val="multilevel"/>
    <w:tmpl w:val="7C3EC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8440BE"/>
    <w:multiLevelType w:val="multilevel"/>
    <w:tmpl w:val="F4924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4A0316"/>
    <w:multiLevelType w:val="multilevel"/>
    <w:tmpl w:val="22D49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494279"/>
    <w:multiLevelType w:val="multilevel"/>
    <w:tmpl w:val="AD4CDE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88983394">
    <w:abstractNumId w:val="4"/>
  </w:num>
  <w:num w:numId="2" w16cid:durableId="1761944757">
    <w:abstractNumId w:val="1"/>
  </w:num>
  <w:num w:numId="3" w16cid:durableId="1640375056">
    <w:abstractNumId w:val="0"/>
  </w:num>
  <w:num w:numId="4" w16cid:durableId="608856930">
    <w:abstractNumId w:val="3"/>
  </w:num>
  <w:num w:numId="5" w16cid:durableId="8881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B4"/>
    <w:rsid w:val="001838EE"/>
    <w:rsid w:val="003E47B4"/>
    <w:rsid w:val="004944C9"/>
    <w:rsid w:val="0072475B"/>
    <w:rsid w:val="00BB09D6"/>
    <w:rsid w:val="00F230D1"/>
    <w:rsid w:val="00F7773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3FED"/>
  <w15:docId w15:val="{E2396E66-C9B9-DF41-B906-C67C63DF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BB09D6"/>
    <w:rPr>
      <w:color w:val="0000FF" w:themeColor="hyperlink"/>
      <w:u w:val="single"/>
    </w:rPr>
  </w:style>
  <w:style w:type="character" w:styleId="Menzionenonrisolta">
    <w:name w:val="Unresolved Mention"/>
    <w:basedOn w:val="Carpredefinitoparagrafo"/>
    <w:uiPriority w:val="99"/>
    <w:semiHidden/>
    <w:unhideWhenUsed/>
    <w:rsid w:val="00BB09D6"/>
    <w:rPr>
      <w:color w:val="605E5C"/>
      <w:shd w:val="clear" w:color="auto" w:fill="E1DFDD"/>
    </w:rPr>
  </w:style>
  <w:style w:type="character" w:styleId="Collegamentovisitato">
    <w:name w:val="FollowedHyperlink"/>
    <w:basedOn w:val="Carpredefinitoparagrafo"/>
    <w:uiPriority w:val="99"/>
    <w:semiHidden/>
    <w:unhideWhenUsed/>
    <w:rsid w:val="00F23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gazine.unibo.it/archivio/2017/06/12/eni-e-l2019universita-di-bologna-insieme-per-un-nuovo-paradigma-energetico" TargetMode="External"/><Relationship Id="rId3" Type="http://schemas.openxmlformats.org/officeDocument/2006/relationships/settings" Target="settings.xml"/><Relationship Id="rId7" Type="http://schemas.openxmlformats.org/officeDocument/2006/relationships/hyperlink" Target="https://magazine.unibo.it/archivio/2017/06/12/eni-e-l2019universita-di-bologna-insieme-per-un-nuovo-paradigma-energet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gazine.unibo.it/archivio/2017/06/12/eni-e-l2019universita-di-bologna-insieme-per-un-nuovo-paradigma-energetico" TargetMode="External"/><Relationship Id="rId11" Type="http://schemas.openxmlformats.org/officeDocument/2006/relationships/fontTable" Target="fontTable.xml"/><Relationship Id="rId5" Type="http://schemas.openxmlformats.org/officeDocument/2006/relationships/hyperlink" Target="tel:1952" TargetMode="External"/><Relationship Id="rId10" Type="http://schemas.openxmlformats.org/officeDocument/2006/relationships/hyperlink" Target="https://www.ilfattoquotidiano.it/2021/09/29/eni-e-leonardo-influenzano-la-ricerca-italiana-greenpeace-chiede-i-dati-gli-atenei-li-negano-sono-riservati-non-riguardano-il-pubblico/6330366/" TargetMode="External"/><Relationship Id="rId4" Type="http://schemas.openxmlformats.org/officeDocument/2006/relationships/webSettings" Target="webSettings.xml"/><Relationship Id="rId9" Type="http://schemas.openxmlformats.org/officeDocument/2006/relationships/hyperlink" Target="https://magazine.unibo.it/archivio/2017/06/12/eni-e-l2019universita-di-bologna-insieme-per-un-nuovo-paradigma-energe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1405</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Felice Moramarco</cp:lastModifiedBy>
  <cp:revision>3</cp:revision>
  <dcterms:created xsi:type="dcterms:W3CDTF">2023-11-14T11:45:00Z</dcterms:created>
  <dcterms:modified xsi:type="dcterms:W3CDTF">2023-11-14T12:03:00Z</dcterms:modified>
</cp:coreProperties>
</file>