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D13C" w14:textId="77777777" w:rsidR="00267270" w:rsidRDefault="00267270" w:rsidP="00267270"/>
    <w:p w14:paraId="1D29CB00" w14:textId="77777777" w:rsidR="00267270" w:rsidRDefault="00267270" w:rsidP="00267270"/>
    <w:p w14:paraId="097E8728" w14:textId="0C80AD41" w:rsidR="00267270" w:rsidRPr="00267270" w:rsidRDefault="00267270" w:rsidP="00267270">
      <w:pPr>
        <w:rPr>
          <w:b/>
          <w:bCs/>
          <w:sz w:val="28"/>
          <w:szCs w:val="28"/>
        </w:rPr>
      </w:pPr>
      <w:r w:rsidRPr="00267270">
        <w:rPr>
          <w:b/>
          <w:bCs/>
          <w:sz w:val="28"/>
          <w:szCs w:val="28"/>
        </w:rPr>
        <w:t xml:space="preserve">Samenvatting </w:t>
      </w:r>
    </w:p>
    <w:p w14:paraId="4E77A533" w14:textId="77777777" w:rsidR="00267270" w:rsidRDefault="00267270" w:rsidP="00267270"/>
    <w:p w14:paraId="08F0D017" w14:textId="77777777" w:rsidR="00267270" w:rsidRDefault="00267270" w:rsidP="00267270"/>
    <w:p w14:paraId="5495D944" w14:textId="77777777" w:rsidR="00267270" w:rsidRDefault="00267270" w:rsidP="00267270"/>
    <w:p w14:paraId="0D871854" w14:textId="75C2DE5B" w:rsidR="006003F2" w:rsidRDefault="00267270" w:rsidP="006003F2">
      <w:pPr>
        <w:rPr>
          <w:b/>
          <w:bCs/>
        </w:rPr>
      </w:pPr>
      <w:r w:rsidRPr="00267270">
        <w:rPr>
          <w:b/>
          <w:bCs/>
        </w:rPr>
        <w:t xml:space="preserve">In deze notitie </w:t>
      </w:r>
      <w:r w:rsidR="006003F2">
        <w:rPr>
          <w:b/>
          <w:bCs/>
        </w:rPr>
        <w:t>is</w:t>
      </w:r>
      <w:r w:rsidR="008E262F">
        <w:rPr>
          <w:b/>
          <w:bCs/>
        </w:rPr>
        <w:t xml:space="preserve">, op verzoek van Greenpeace, </w:t>
      </w:r>
      <w:r w:rsidR="006003F2">
        <w:rPr>
          <w:b/>
          <w:bCs/>
        </w:rPr>
        <w:t>een d</w:t>
      </w:r>
      <w:r w:rsidRPr="00267270">
        <w:rPr>
          <w:b/>
          <w:bCs/>
        </w:rPr>
        <w:t>enkrichting uitgewerkt om te komen tot een logische onderbouwing voor een schadeclaim bij de Rabobank</w:t>
      </w:r>
      <w:r w:rsidR="006003F2">
        <w:rPr>
          <w:b/>
          <w:bCs/>
        </w:rPr>
        <w:t xml:space="preserve"> als aanjager en daarmee medeverantwoordelijke voor de maatschappelijke schade die veroorzaakt is</w:t>
      </w:r>
      <w:r w:rsidR="008E262F">
        <w:rPr>
          <w:b/>
          <w:bCs/>
        </w:rPr>
        <w:t>,</w:t>
      </w:r>
      <w:r w:rsidR="006003F2">
        <w:rPr>
          <w:b/>
          <w:bCs/>
        </w:rPr>
        <w:t xml:space="preserve"> en word door de veehouderij in Nederland</w:t>
      </w:r>
      <w:r w:rsidR="008E262F">
        <w:rPr>
          <w:b/>
          <w:bCs/>
        </w:rPr>
        <w:t>.</w:t>
      </w:r>
      <w:r w:rsidR="006003F2">
        <w:rPr>
          <w:b/>
          <w:bCs/>
        </w:rPr>
        <w:t xml:space="preserve"> </w:t>
      </w:r>
    </w:p>
    <w:p w14:paraId="157B83D5" w14:textId="3A615FFA" w:rsidR="00267270" w:rsidRPr="00267270" w:rsidRDefault="006003F2" w:rsidP="006003F2">
      <w:pPr>
        <w:rPr>
          <w:b/>
          <w:bCs/>
        </w:rPr>
      </w:pPr>
      <w:r>
        <w:rPr>
          <w:b/>
          <w:bCs/>
        </w:rPr>
        <w:t xml:space="preserve">Het beredeneerde bedrag </w:t>
      </w:r>
      <w:r w:rsidR="008E262F">
        <w:rPr>
          <w:b/>
          <w:bCs/>
        </w:rPr>
        <w:t xml:space="preserve">voor een schadeclaim </w:t>
      </w:r>
      <w:r>
        <w:rPr>
          <w:b/>
          <w:bCs/>
        </w:rPr>
        <w:t>komt neer op Euro 3.1 miljard</w:t>
      </w:r>
      <w:r w:rsidR="008E262F">
        <w:rPr>
          <w:b/>
          <w:bCs/>
        </w:rPr>
        <w:t xml:space="preserve"> voor de</w:t>
      </w:r>
      <w:r w:rsidR="00267270" w:rsidRPr="00267270">
        <w:rPr>
          <w:b/>
          <w:bCs/>
        </w:rPr>
        <w:t xml:space="preserve"> Rabobank als medeverantwoordelijke voor Euro 100 miljard cumulatieve schade voor de brede maatschappelijke welvaart in Nederland </w:t>
      </w:r>
      <w:r w:rsidR="008E262F">
        <w:rPr>
          <w:b/>
          <w:bCs/>
        </w:rPr>
        <w:t xml:space="preserve">gedurende de afgelopen 15 jaar, d.w.z. de periode </w:t>
      </w:r>
      <w:r w:rsidR="00267270" w:rsidRPr="00267270">
        <w:rPr>
          <w:b/>
          <w:bCs/>
        </w:rPr>
        <w:t>2007-2022</w:t>
      </w:r>
      <w:r w:rsidR="008E262F">
        <w:rPr>
          <w:b/>
          <w:bCs/>
        </w:rPr>
        <w:t>.</w:t>
      </w:r>
    </w:p>
    <w:p w14:paraId="1447A82F" w14:textId="77777777" w:rsidR="00267270" w:rsidRDefault="00267270">
      <w:pPr>
        <w:rPr>
          <w:i/>
          <w:iCs/>
        </w:rPr>
      </w:pPr>
    </w:p>
    <w:p w14:paraId="3D8E87A1" w14:textId="77777777" w:rsidR="008E262F" w:rsidRDefault="00267270">
      <w:pPr>
        <w:rPr>
          <w:i/>
          <w:iCs/>
        </w:rPr>
      </w:pPr>
      <w:r w:rsidRPr="00267270">
        <w:rPr>
          <w:i/>
          <w:iCs/>
        </w:rPr>
        <w:t xml:space="preserve">Deze notitie is gebaseerd op een groot aantal veronderstellingen. Zo realistisch mogelijk, maar toch. Bijzonder is het rekenmodel dat ik gemaakt heb om de kosten en ammoniak uitstoot reductiewinst te kunnen berekenen. Ik noem dit het keukentafel model. </w:t>
      </w:r>
      <w:r w:rsidR="008E262F">
        <w:rPr>
          <w:i/>
          <w:iCs/>
        </w:rPr>
        <w:t>De berekeningen zijn gemaakt op 3 april met het SCHOON model versie 4.0.</w:t>
      </w:r>
    </w:p>
    <w:p w14:paraId="5BD32EED" w14:textId="77777777" w:rsidR="008E262F" w:rsidRDefault="008E262F">
      <w:pPr>
        <w:rPr>
          <w:b/>
          <w:bCs/>
          <w:sz w:val="28"/>
          <w:szCs w:val="28"/>
        </w:rPr>
      </w:pPr>
    </w:p>
    <w:p w14:paraId="000790D3" w14:textId="77777777" w:rsidR="008E262F" w:rsidRDefault="008E262F">
      <w:pPr>
        <w:rPr>
          <w:b/>
          <w:bCs/>
          <w:sz w:val="28"/>
          <w:szCs w:val="28"/>
        </w:rPr>
      </w:pPr>
    </w:p>
    <w:p w14:paraId="47E5897C" w14:textId="23743F84" w:rsidR="008E262F" w:rsidRDefault="008E262F" w:rsidP="008E262F">
      <w:pPr>
        <w:spacing w:after="0" w:line="240" w:lineRule="atLeast"/>
      </w:pPr>
      <w:r w:rsidRPr="008E262F">
        <w:t>Max van der Sleen</w:t>
      </w:r>
    </w:p>
    <w:p w14:paraId="602809A0" w14:textId="77777777" w:rsidR="008E262F" w:rsidRPr="008E262F" w:rsidRDefault="008E262F" w:rsidP="008E262F">
      <w:pPr>
        <w:spacing w:after="0" w:line="240" w:lineRule="atLeast"/>
      </w:pPr>
    </w:p>
    <w:p w14:paraId="01311B99" w14:textId="608B750E" w:rsidR="008E262F" w:rsidRPr="008E262F" w:rsidRDefault="008E262F" w:rsidP="008E262F">
      <w:pPr>
        <w:spacing w:after="0" w:line="240" w:lineRule="atLeast"/>
      </w:pPr>
      <w:r w:rsidRPr="008E262F">
        <w:t>Ethicalgrowth2020</w:t>
      </w:r>
    </w:p>
    <w:p w14:paraId="368C6FB5" w14:textId="7749B0A5" w:rsidR="008E262F" w:rsidRPr="008E262F" w:rsidRDefault="008E262F" w:rsidP="008E262F">
      <w:pPr>
        <w:spacing w:after="0" w:line="240" w:lineRule="atLeast"/>
      </w:pPr>
      <w:r w:rsidRPr="008E262F">
        <w:t>7 mei 2023</w:t>
      </w:r>
    </w:p>
    <w:p w14:paraId="0E71C7B5" w14:textId="63E0F360" w:rsidR="00267270" w:rsidRDefault="00267270">
      <w:pPr>
        <w:rPr>
          <w:b/>
          <w:bCs/>
          <w:sz w:val="28"/>
          <w:szCs w:val="28"/>
        </w:rPr>
      </w:pPr>
      <w:r>
        <w:rPr>
          <w:b/>
          <w:bCs/>
          <w:sz w:val="28"/>
          <w:szCs w:val="28"/>
        </w:rPr>
        <w:br w:type="page"/>
      </w:r>
    </w:p>
    <w:p w14:paraId="6EA0046F" w14:textId="64A44ED9" w:rsidR="00F40266" w:rsidRPr="00832D67" w:rsidRDefault="00F40266" w:rsidP="00832D67">
      <w:pPr>
        <w:spacing w:after="0"/>
        <w:rPr>
          <w:b/>
          <w:bCs/>
          <w:sz w:val="28"/>
          <w:szCs w:val="28"/>
        </w:rPr>
      </w:pPr>
      <w:r w:rsidRPr="00832D67">
        <w:rPr>
          <w:b/>
          <w:bCs/>
          <w:sz w:val="28"/>
          <w:szCs w:val="28"/>
        </w:rPr>
        <w:lastRenderedPageBreak/>
        <w:t>Rapportage voor Greenpeace</w:t>
      </w:r>
    </w:p>
    <w:p w14:paraId="445C3216" w14:textId="17E6455A" w:rsidR="00F40266" w:rsidRDefault="00F40266" w:rsidP="00832D67">
      <w:pPr>
        <w:spacing w:after="0"/>
      </w:pPr>
      <w:r>
        <w:t xml:space="preserve">Kwantitatieve verkenning van denkrichtingen </w:t>
      </w:r>
      <w:r w:rsidR="00075F25">
        <w:t>voor</w:t>
      </w:r>
      <w:r>
        <w:t xml:space="preserve"> een mogelijke schadeclaim </w:t>
      </w:r>
      <w:r w:rsidR="00517ADF">
        <w:t xml:space="preserve">voor de </w:t>
      </w:r>
      <w:r w:rsidR="00B75B8D">
        <w:t>Rabobank</w:t>
      </w:r>
    </w:p>
    <w:p w14:paraId="20796DEA" w14:textId="6D2DE52F" w:rsidR="00F40266" w:rsidRDefault="00A14DFF" w:rsidP="00832D67">
      <w:pPr>
        <w:spacing w:after="0"/>
      </w:pPr>
      <w:r>
        <w:t xml:space="preserve">1st </w:t>
      </w:r>
      <w:r w:rsidR="00C12975">
        <w:t>v</w:t>
      </w:r>
      <w:r>
        <w:t>ersie</w:t>
      </w:r>
      <w:r w:rsidR="00C12975">
        <w:t xml:space="preserve"> </w:t>
      </w:r>
      <w:r w:rsidR="00F40266">
        <w:t>27 maart 2023</w:t>
      </w:r>
      <w:r w:rsidR="00832D67">
        <w:t xml:space="preserve">, </w:t>
      </w:r>
      <w:r w:rsidR="00C12975">
        <w:t>deze versie</w:t>
      </w:r>
      <w:r w:rsidR="009F3D09">
        <w:rPr>
          <w:b/>
          <w:bCs/>
        </w:rPr>
        <w:t xml:space="preserve"> 7 mei 2023</w:t>
      </w:r>
      <w:r w:rsidR="00C12975">
        <w:t xml:space="preserve">, </w:t>
      </w:r>
      <w:r w:rsidR="00F40266">
        <w:t xml:space="preserve">Max van der Sleen </w:t>
      </w:r>
    </w:p>
    <w:p w14:paraId="6C934845" w14:textId="69487646" w:rsidR="00517ADF" w:rsidRDefault="00517ADF" w:rsidP="00F40266"/>
    <w:p w14:paraId="33160B2D" w14:textId="77BFC250" w:rsidR="00517ADF" w:rsidRPr="00381F67" w:rsidRDefault="00517ADF" w:rsidP="00381F67">
      <w:pPr>
        <w:pStyle w:val="ListParagraph"/>
        <w:numPr>
          <w:ilvl w:val="0"/>
          <w:numId w:val="2"/>
        </w:numPr>
        <w:ind w:left="284" w:hanging="284"/>
        <w:rPr>
          <w:b/>
          <w:bCs/>
          <w:sz w:val="28"/>
          <w:szCs w:val="28"/>
        </w:rPr>
      </w:pPr>
      <w:r w:rsidRPr="00381F67">
        <w:rPr>
          <w:b/>
          <w:bCs/>
          <w:sz w:val="28"/>
          <w:szCs w:val="28"/>
        </w:rPr>
        <w:t xml:space="preserve">Introductie.  </w:t>
      </w:r>
    </w:p>
    <w:p w14:paraId="167AE3ED" w14:textId="0FFAE222" w:rsidR="00517ADF" w:rsidRPr="00F0497F" w:rsidRDefault="00517ADF" w:rsidP="00F40266">
      <w:pPr>
        <w:rPr>
          <w:b/>
          <w:bCs/>
        </w:rPr>
      </w:pPr>
      <w:r w:rsidRPr="00F0497F">
        <w:t xml:space="preserve">Deze notitie levert informatie aan die Greenpeace kan gebruiken om de volgende vraagstelling te helpen beantwoorden: </w:t>
      </w:r>
      <w:r w:rsidRPr="00F0497F">
        <w:rPr>
          <w:b/>
          <w:bCs/>
        </w:rPr>
        <w:t xml:space="preserve">“Welke schadeclaim kunnen wij bij de Rabobank neerleggen voor het aanjagen van de intensieve veehouderij, wat zij vervolgens moeten besteden aan de omschakeling van de landbouw”.  </w:t>
      </w:r>
    </w:p>
    <w:p w14:paraId="2941FBB4" w14:textId="58A15C94" w:rsidR="0004466B" w:rsidRPr="00F0497F" w:rsidRDefault="00517ADF" w:rsidP="00F40266">
      <w:r w:rsidRPr="00F0497F">
        <w:t xml:space="preserve">In deze notitie is als uitgangspunt genomen dat het hierbij gaat om een omschakeling van het huidige </w:t>
      </w:r>
      <w:r w:rsidR="00F0497F" w:rsidRPr="00F0497F">
        <w:t>voornamelijk input</w:t>
      </w:r>
      <w:r w:rsidR="00D3057D">
        <w:t>-</w:t>
      </w:r>
      <w:r w:rsidR="00F0497F" w:rsidRPr="00F0497F">
        <w:t xml:space="preserve">intensieve veehouderij </w:t>
      </w:r>
      <w:r w:rsidRPr="00F0497F">
        <w:t>systeem naar een duurzamer productiesysteem</w:t>
      </w:r>
      <w:r w:rsidR="001071B9">
        <w:t xml:space="preserve">. Dit gaat over een transformatie van de veehouderij in Nederland, een systeemverandering die 20 tot 30 jaar gaat duren en </w:t>
      </w:r>
      <w:r w:rsidRPr="00F0497F">
        <w:t>past binnen de kaders zoals die geformuleerd zijn met de VHR, KRW, Klimaat en grondgebonden circulaire landbouw principes</w:t>
      </w:r>
      <w:r w:rsidR="00254401">
        <w:t xml:space="preserve">, waaronder ecologische veehouderij (1,5 GVE/ha) </w:t>
      </w:r>
      <w:r w:rsidRPr="00F0497F">
        <w:t>waar Greenpeace zich voor inzet.</w:t>
      </w:r>
      <w:r w:rsidR="0004466B">
        <w:t xml:space="preserve"> </w:t>
      </w:r>
      <w:r w:rsidR="00A14DFF">
        <w:t xml:space="preserve"> </w:t>
      </w:r>
      <w:r w:rsidR="0004466B">
        <w:t xml:space="preserve">Een </w:t>
      </w:r>
      <w:r w:rsidR="00A14DFF">
        <w:t>“</w:t>
      </w:r>
      <w:r w:rsidR="001071B9">
        <w:t>Greenpeace</w:t>
      </w:r>
      <w:r w:rsidR="00A14DFF">
        <w:t>”</w:t>
      </w:r>
      <w:r w:rsidR="001071B9">
        <w:t xml:space="preserve"> </w:t>
      </w:r>
      <w:r w:rsidR="0004466B">
        <w:t xml:space="preserve">scenario voor het omschakelingsproces in de komende drie decennia (2022-2050) is uitgewerkt </w:t>
      </w:r>
      <w:r w:rsidR="0004466B" w:rsidRPr="00075F25">
        <w:t>in Bijlage</w:t>
      </w:r>
      <w:r w:rsidR="00A14DFF" w:rsidRPr="00075F25">
        <w:t xml:space="preserve"> </w:t>
      </w:r>
      <w:r w:rsidR="00075F25" w:rsidRPr="00075F25">
        <w:t>1</w:t>
      </w:r>
      <w:r w:rsidR="0004466B" w:rsidRPr="00075F25">
        <w:t>.</w:t>
      </w:r>
      <w:r w:rsidR="0004466B">
        <w:t xml:space="preserve"> </w:t>
      </w:r>
    </w:p>
    <w:p w14:paraId="451F931A" w14:textId="762262E9" w:rsidR="00517ADF" w:rsidRDefault="00F0497F" w:rsidP="00F40266">
      <w:pPr>
        <w:rPr>
          <w:b/>
          <w:bCs/>
        </w:rPr>
      </w:pPr>
      <w:r>
        <w:rPr>
          <w:b/>
          <w:bCs/>
        </w:rPr>
        <w:t>De notitie is opgezet rond 3 deel vragen.</w:t>
      </w:r>
    </w:p>
    <w:p w14:paraId="2098E625" w14:textId="67922531" w:rsidR="00F0497F" w:rsidRDefault="009F3D09" w:rsidP="00F0497F">
      <w:pPr>
        <w:pStyle w:val="ListParagraph"/>
        <w:numPr>
          <w:ilvl w:val="0"/>
          <w:numId w:val="1"/>
        </w:numPr>
      </w:pPr>
      <w:r w:rsidRPr="00075F25">
        <w:rPr>
          <w:i/>
          <w:iCs/>
        </w:rPr>
        <w:t xml:space="preserve">Wat zijn de maatschappelijke kosten van de schade die de veehouderij toebrengt aan de welvaart in </w:t>
      </w:r>
      <w:r w:rsidR="00004A8B" w:rsidRPr="00075F25">
        <w:rPr>
          <w:i/>
          <w:iCs/>
        </w:rPr>
        <w:t>Nederland</w:t>
      </w:r>
      <w:r w:rsidR="00004A8B">
        <w:rPr>
          <w:i/>
          <w:iCs/>
        </w:rPr>
        <w:t xml:space="preserve">; uitgedrukt in schade aan de natuur &amp; biodiversiteit; klimaat; en gezondheid? En cumulatief over de laatste 15 jaar?  </w:t>
      </w:r>
    </w:p>
    <w:p w14:paraId="05783D19" w14:textId="74A2B078" w:rsidR="009F3D09" w:rsidRPr="00075F25" w:rsidRDefault="00F0497F" w:rsidP="009F3D09">
      <w:pPr>
        <w:pStyle w:val="ListParagraph"/>
        <w:numPr>
          <w:ilvl w:val="0"/>
          <w:numId w:val="1"/>
        </w:numPr>
        <w:rPr>
          <w:i/>
          <w:iCs/>
        </w:rPr>
      </w:pPr>
      <w:bookmarkStart w:id="0" w:name="_Hlk132275433"/>
      <w:r w:rsidRPr="00254401">
        <w:rPr>
          <w:i/>
          <w:iCs/>
        </w:rPr>
        <w:t>Wat zijn de maatschappelijke</w:t>
      </w:r>
      <w:r w:rsidR="009F3D09">
        <w:rPr>
          <w:i/>
          <w:iCs/>
        </w:rPr>
        <w:t xml:space="preserve"> kosten van de </w:t>
      </w:r>
      <w:r w:rsidR="009F3D09" w:rsidRPr="00004A8B">
        <w:rPr>
          <w:i/>
          <w:iCs/>
          <w:u w:val="single"/>
        </w:rPr>
        <w:t xml:space="preserve">intensieve </w:t>
      </w:r>
      <w:r w:rsidR="009F3D09">
        <w:rPr>
          <w:i/>
          <w:iCs/>
        </w:rPr>
        <w:t xml:space="preserve">veehouderij voor de welvaart in Nederland; </w:t>
      </w:r>
      <w:bookmarkStart w:id="1" w:name="_Hlk134417969"/>
      <w:r w:rsidR="009F3D09">
        <w:rPr>
          <w:i/>
          <w:iCs/>
        </w:rPr>
        <w:t xml:space="preserve">uitgedrukt in schade aan de natuur &amp; biodiversiteit; klimaat; en gezondheid? Cumulatief over de laatste 15 jaar?  </w:t>
      </w:r>
      <w:bookmarkEnd w:id="1"/>
    </w:p>
    <w:bookmarkEnd w:id="0"/>
    <w:p w14:paraId="283D44BB" w14:textId="605E5CBB" w:rsidR="00F0497F" w:rsidRPr="00075F25" w:rsidRDefault="00F0497F" w:rsidP="00F40266">
      <w:pPr>
        <w:pStyle w:val="ListParagraph"/>
        <w:numPr>
          <w:ilvl w:val="0"/>
          <w:numId w:val="1"/>
        </w:numPr>
        <w:rPr>
          <w:i/>
          <w:iCs/>
        </w:rPr>
      </w:pPr>
      <w:r w:rsidRPr="00075F25">
        <w:rPr>
          <w:i/>
          <w:iCs/>
        </w:rPr>
        <w:t>Kan beargumenteerd worden dat de Rabobank een medeaanjager is van de stikstofcrisis, en zo ja, welk deel van de rekening zou dan bij de Rabobank kunnen worden neergelegd</w:t>
      </w:r>
      <w:r w:rsidR="00D3057D" w:rsidRPr="00075F25">
        <w:rPr>
          <w:i/>
          <w:iCs/>
        </w:rPr>
        <w:t>?</w:t>
      </w:r>
    </w:p>
    <w:p w14:paraId="5EB3A929" w14:textId="77777777" w:rsidR="00267270" w:rsidRPr="00254401" w:rsidRDefault="00267270" w:rsidP="00267270">
      <w:pPr>
        <w:pStyle w:val="ListParagraph"/>
        <w:rPr>
          <w:b/>
          <w:bCs/>
          <w:i/>
          <w:iCs/>
        </w:rPr>
      </w:pPr>
    </w:p>
    <w:p w14:paraId="07D703C8" w14:textId="20375ABD" w:rsidR="00381F67" w:rsidRDefault="00381F67" w:rsidP="00267270">
      <w:pPr>
        <w:pStyle w:val="ListParagraph"/>
        <w:numPr>
          <w:ilvl w:val="0"/>
          <w:numId w:val="2"/>
        </w:numPr>
        <w:ind w:left="284" w:hanging="284"/>
        <w:rPr>
          <w:b/>
          <w:bCs/>
          <w:sz w:val="28"/>
          <w:szCs w:val="28"/>
        </w:rPr>
      </w:pPr>
      <w:r w:rsidRPr="00267270">
        <w:rPr>
          <w:b/>
          <w:bCs/>
          <w:sz w:val="28"/>
          <w:szCs w:val="28"/>
        </w:rPr>
        <w:t xml:space="preserve">Samenvatting </w:t>
      </w:r>
      <w:r w:rsidR="007F7642" w:rsidRPr="00267270">
        <w:rPr>
          <w:b/>
          <w:bCs/>
          <w:sz w:val="28"/>
          <w:szCs w:val="28"/>
        </w:rPr>
        <w:t xml:space="preserve">en korte toelichting op de </w:t>
      </w:r>
      <w:r w:rsidRPr="00267270">
        <w:rPr>
          <w:b/>
          <w:bCs/>
          <w:sz w:val="28"/>
          <w:szCs w:val="28"/>
        </w:rPr>
        <w:t xml:space="preserve">bevindingen </w:t>
      </w:r>
    </w:p>
    <w:p w14:paraId="42AA8DD4" w14:textId="65C3F631" w:rsidR="00420BA8" w:rsidRPr="00420BA8" w:rsidRDefault="00420BA8" w:rsidP="00420BA8">
      <w:pPr>
        <w:rPr>
          <w:b/>
          <w:bCs/>
          <w:sz w:val="24"/>
          <w:szCs w:val="24"/>
        </w:rPr>
      </w:pPr>
      <w:r w:rsidRPr="00420BA8">
        <w:rPr>
          <w:i/>
          <w:iCs/>
          <w:sz w:val="24"/>
          <w:szCs w:val="24"/>
        </w:rPr>
        <w:t>2.1</w:t>
      </w:r>
      <w:r w:rsidRPr="00420BA8">
        <w:rPr>
          <w:i/>
          <w:iCs/>
          <w:sz w:val="24"/>
          <w:szCs w:val="24"/>
        </w:rPr>
        <w:tab/>
        <w:t>Wat zijn de maatschappelijke kosten van de veehouderij in Nederland?</w:t>
      </w:r>
    </w:p>
    <w:p w14:paraId="3C8A87EE" w14:textId="405B1C79" w:rsidR="00E6402F" w:rsidRPr="002876B8" w:rsidRDefault="00254401" w:rsidP="00C37863">
      <w:r w:rsidRPr="00C37863">
        <w:rPr>
          <w:b/>
          <w:bCs/>
        </w:rPr>
        <w:t xml:space="preserve">In 2021 werd </w:t>
      </w:r>
      <w:r w:rsidR="00C94D6C" w:rsidRPr="00C37863">
        <w:rPr>
          <w:b/>
          <w:bCs/>
        </w:rPr>
        <w:t xml:space="preserve">Euro 5,6 miljard aan maatschappelijke schade </w:t>
      </w:r>
      <w:r w:rsidR="00C94D6C" w:rsidRPr="00C94D6C">
        <w:t xml:space="preserve">(aan natuur, klimaat en gezondheid) veroorzaakt </w:t>
      </w:r>
      <w:r w:rsidR="00FA5BB7" w:rsidRPr="00C94D6C">
        <w:t xml:space="preserve">door de emissie van luchtvervuilende stoffen door de veestapels (graasdieren en hokdieren). Het gaat hierbij </w:t>
      </w:r>
      <w:r w:rsidR="00C94D6C" w:rsidRPr="00C94D6C">
        <w:t xml:space="preserve">met name </w:t>
      </w:r>
      <w:r w:rsidR="00FA5BB7" w:rsidRPr="00C94D6C">
        <w:t>om Ammoniak (</w:t>
      </w:r>
      <w:r w:rsidR="00FA5BB7" w:rsidRPr="00C37863">
        <w:rPr>
          <w:rFonts w:cstheme="minorHAnsi"/>
        </w:rPr>
        <w:t>NH₃) € 3,0 mld.; Stikstofoxide (Noₓ) € 0,9 mld.; en methaan (CH₄) € 1.2 mld.</w:t>
      </w:r>
      <w:r w:rsidR="00C94D6C" w:rsidRPr="00C37863">
        <w:rPr>
          <w:rFonts w:cstheme="minorHAnsi"/>
        </w:rPr>
        <w:t xml:space="preserve"> Dit schadebedrag gelijk is aan 41% van de BBP-bijdrage (Bruto Binnenlands Product) van de veehouderij in dat jaar </w:t>
      </w:r>
      <w:r w:rsidR="00C94D6C" w:rsidRPr="00C37863">
        <w:rPr>
          <w:rFonts w:cstheme="minorHAnsi"/>
          <w:b/>
          <w:bCs/>
        </w:rPr>
        <w:t>(zie Tabel 1).</w:t>
      </w:r>
      <w:r w:rsidR="00C94D6C" w:rsidRPr="00C37863">
        <w:rPr>
          <w:rFonts w:cstheme="minorHAnsi"/>
        </w:rPr>
        <w:t xml:space="preserve"> </w:t>
      </w:r>
      <w:r w:rsidR="00E6402F" w:rsidRPr="00C37863">
        <w:rPr>
          <w:rFonts w:cstheme="minorHAnsi"/>
        </w:rPr>
        <w:t xml:space="preserve">De laatste kolom van de tabel laat zien dat de veehouderij verantwoordelijk is voor 46 % van de totale Stikstof uitstoot in Nederland en 80% van de Ammoniak uitstoot. </w:t>
      </w:r>
      <w:r w:rsidR="008974F5" w:rsidRPr="00C37863">
        <w:rPr>
          <w:rFonts w:cstheme="minorHAnsi"/>
        </w:rPr>
        <w:t xml:space="preserve"> Dit schadebedrag kan worden vertaald in € 3,15 miljard biodiversiteitsschade, € 1,5 miljard klimaatschade; en € 0,99 miljard aan gezondheidsschade</w:t>
      </w:r>
      <w:r w:rsidR="008974F5">
        <w:rPr>
          <w:rStyle w:val="FootnoteReference"/>
          <w:rFonts w:cstheme="minorHAnsi"/>
        </w:rPr>
        <w:footnoteReference w:id="1"/>
      </w:r>
      <w:r w:rsidR="008974F5" w:rsidRPr="00C37863">
        <w:rPr>
          <w:rFonts w:cstheme="minorHAnsi"/>
        </w:rPr>
        <w:t xml:space="preserve">. </w:t>
      </w:r>
    </w:p>
    <w:p w14:paraId="2B08B79B" w14:textId="56CE0F93" w:rsidR="005C54E6" w:rsidRDefault="00C632B2" w:rsidP="00463102">
      <w:r w:rsidRPr="00C632B2">
        <w:lastRenderedPageBreak/>
        <w:drawing>
          <wp:inline distT="0" distB="0" distL="0" distR="0" wp14:anchorId="72835478" wp14:editId="0E73B9CE">
            <wp:extent cx="5926455" cy="4116705"/>
            <wp:effectExtent l="0" t="0" r="0" b="0"/>
            <wp:docPr id="1361901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6455" cy="4116705"/>
                    </a:xfrm>
                    <a:prstGeom prst="rect">
                      <a:avLst/>
                    </a:prstGeom>
                    <a:noFill/>
                    <a:ln>
                      <a:noFill/>
                    </a:ln>
                  </pic:spPr>
                </pic:pic>
              </a:graphicData>
            </a:graphic>
          </wp:inline>
        </w:drawing>
      </w:r>
    </w:p>
    <w:p w14:paraId="5D77E726" w14:textId="446A7E31" w:rsidR="00982A33" w:rsidRPr="00075F25" w:rsidRDefault="00982A33" w:rsidP="00004A8B">
      <w:r w:rsidRPr="00004A8B">
        <w:rPr>
          <w:rFonts w:cstheme="minorHAnsi"/>
        </w:rPr>
        <w:t>Om een schatting te krijgen van de totale maatschappelijke kosten is gekeken naar de periode 200</w:t>
      </w:r>
      <w:r w:rsidR="00004A8B">
        <w:rPr>
          <w:rFonts w:cstheme="minorHAnsi"/>
        </w:rPr>
        <w:t>8</w:t>
      </w:r>
      <w:r w:rsidRPr="00004A8B">
        <w:rPr>
          <w:rFonts w:cstheme="minorHAnsi"/>
        </w:rPr>
        <w:t>-2022. Het jaar 2007 is het jaar waarin bekend werd dat de melkquota zouden worden afgeschaft, dat was een keerpunt. Na jaren van geleidelijke krimp en een sterke daling in de uitstoot van Luchtvervuilende emissies is de omvang van de melkveehouderij weer gegroeid met 30% (15% tussen</w:t>
      </w:r>
      <w:r w:rsidR="00004A8B">
        <w:rPr>
          <w:rFonts w:cstheme="minorHAnsi"/>
        </w:rPr>
        <w:t xml:space="preserve"> </w:t>
      </w:r>
      <w:r w:rsidRPr="00004A8B">
        <w:rPr>
          <w:rFonts w:cstheme="minorHAnsi"/>
        </w:rPr>
        <w:t>2007 en 2015</w:t>
      </w:r>
      <w:r>
        <w:rPr>
          <w:rStyle w:val="FootnoteReference"/>
          <w:rFonts w:cstheme="minorHAnsi"/>
        </w:rPr>
        <w:footnoteReference w:id="2"/>
      </w:r>
      <w:r w:rsidRPr="00004A8B">
        <w:rPr>
          <w:rFonts w:cstheme="minorHAnsi"/>
        </w:rPr>
        <w:t xml:space="preserve"> en daarna nog eens met 15% in </w:t>
      </w:r>
      <w:r w:rsidR="0014472D" w:rsidRPr="00004A8B">
        <w:rPr>
          <w:rFonts w:cstheme="minorHAnsi"/>
        </w:rPr>
        <w:t>d</w:t>
      </w:r>
      <w:r w:rsidRPr="00004A8B">
        <w:rPr>
          <w:rFonts w:cstheme="minorHAnsi"/>
        </w:rPr>
        <w:t xml:space="preserve">e periode t/m 2022). </w:t>
      </w:r>
      <w:r w:rsidR="008230D1" w:rsidRPr="00004A8B">
        <w:rPr>
          <w:rFonts w:cstheme="minorHAnsi"/>
        </w:rPr>
        <w:t xml:space="preserve"> </w:t>
      </w:r>
      <w:r w:rsidRPr="00004A8B">
        <w:rPr>
          <w:rFonts w:cstheme="minorHAnsi"/>
        </w:rPr>
        <w:t xml:space="preserve">De Rabobank heeft daarbij een adviserende, groei stimulerende rol gespeeld waardoor onder meer de gemiddelde schuld van de veehouders is gestegen van Euro 450.000 (2007) per bedrijf naar Euro 1,0 miljoen per bedrijf (2022 cijfers), </w:t>
      </w:r>
      <w:r w:rsidR="008230D1" w:rsidRPr="00004A8B">
        <w:rPr>
          <w:rFonts w:cstheme="minorHAnsi"/>
        </w:rPr>
        <w:t xml:space="preserve">Over de periode 2008-2022 </w:t>
      </w:r>
      <w:r w:rsidRPr="00004A8B">
        <w:rPr>
          <w:rFonts w:cstheme="minorHAnsi"/>
        </w:rPr>
        <w:t xml:space="preserve">telt de maatschappelijke schade door luchtvervuilende emissies uit de veehouderij op tot </w:t>
      </w:r>
      <w:r w:rsidR="008230D1" w:rsidRPr="00004A8B">
        <w:rPr>
          <w:rFonts w:cstheme="minorHAnsi"/>
        </w:rPr>
        <w:t>ongeveer</w:t>
      </w:r>
      <w:r w:rsidR="00004A8B" w:rsidRPr="00004A8B">
        <w:rPr>
          <w:rFonts w:cstheme="minorHAnsi"/>
        </w:rPr>
        <w:t xml:space="preserve"> Euro 84 miljard</w:t>
      </w:r>
      <w:r w:rsidR="00004A8B">
        <w:rPr>
          <w:rFonts w:cstheme="minorHAnsi"/>
        </w:rPr>
        <w:t xml:space="preserve"> (</w:t>
      </w:r>
      <w:r w:rsidR="008230D1" w:rsidRPr="00004A8B">
        <w:rPr>
          <w:rFonts w:cstheme="minorHAnsi"/>
        </w:rPr>
        <w:t>15* Euro 5,6</w:t>
      </w:r>
      <w:r w:rsidR="00261320" w:rsidRPr="00004A8B">
        <w:rPr>
          <w:rFonts w:cstheme="minorHAnsi"/>
        </w:rPr>
        <w:t xml:space="preserve"> </w:t>
      </w:r>
      <w:r w:rsidR="00004A8B" w:rsidRPr="00004A8B">
        <w:rPr>
          <w:rFonts w:cstheme="minorHAnsi"/>
        </w:rPr>
        <w:t>mld.</w:t>
      </w:r>
      <w:r w:rsidR="008230D1" w:rsidRPr="00004A8B">
        <w:rPr>
          <w:rFonts w:cstheme="minorHAnsi"/>
        </w:rPr>
        <w:t>/jaar</w:t>
      </w:r>
      <w:r w:rsidR="00004A8B">
        <w:rPr>
          <w:rFonts w:cstheme="minorHAnsi"/>
        </w:rPr>
        <w:t>)</w:t>
      </w:r>
      <w:r w:rsidRPr="00004A8B">
        <w:rPr>
          <w:rFonts w:cstheme="minorHAnsi"/>
        </w:rPr>
        <w:t xml:space="preserve">. Tel daar nog ruim Euro 1 miljard aan watervervuiling per jaar bij op en de totale “brede welvaart schade” </w:t>
      </w:r>
      <w:r w:rsidR="00004A8B">
        <w:rPr>
          <w:rFonts w:cstheme="minorHAnsi"/>
        </w:rPr>
        <w:t xml:space="preserve">voor de periode 2008-2022 </w:t>
      </w:r>
      <w:r w:rsidRPr="00004A8B">
        <w:rPr>
          <w:rFonts w:cstheme="minorHAnsi"/>
        </w:rPr>
        <w:t>telt op tot ongeveer Euro 100 miljard</w:t>
      </w:r>
      <w:r>
        <w:rPr>
          <w:rStyle w:val="FootnoteReference"/>
          <w:rFonts w:cstheme="minorHAnsi"/>
        </w:rPr>
        <w:footnoteReference w:id="3"/>
      </w:r>
      <w:r w:rsidR="00261320">
        <w:rPr>
          <w:rStyle w:val="FootnoteReference"/>
          <w:rFonts w:cstheme="minorHAnsi"/>
        </w:rPr>
        <w:footnoteReference w:id="4"/>
      </w:r>
      <w:r w:rsidRPr="00004A8B">
        <w:rPr>
          <w:rFonts w:cstheme="minorHAnsi"/>
        </w:rPr>
        <w:t>.</w:t>
      </w:r>
    </w:p>
    <w:p w14:paraId="32DCBFEC" w14:textId="77777777" w:rsidR="00075F25" w:rsidRDefault="00075F25" w:rsidP="00075F25">
      <w:pPr>
        <w:pStyle w:val="ListParagraph"/>
        <w:rPr>
          <w:rFonts w:cstheme="minorHAnsi"/>
        </w:rPr>
      </w:pPr>
    </w:p>
    <w:p w14:paraId="0DE3828B" w14:textId="77777777" w:rsidR="00075F25" w:rsidRPr="005C54E6" w:rsidRDefault="00075F25" w:rsidP="00075F25">
      <w:pPr>
        <w:pStyle w:val="ListParagraph"/>
      </w:pPr>
    </w:p>
    <w:p w14:paraId="7EC0A168" w14:textId="73F6D438" w:rsidR="00075F25" w:rsidRPr="00C37863" w:rsidRDefault="00075F25" w:rsidP="00C37863">
      <w:pPr>
        <w:pStyle w:val="ListParagraph"/>
        <w:numPr>
          <w:ilvl w:val="1"/>
          <w:numId w:val="28"/>
        </w:numPr>
        <w:ind w:left="567" w:hanging="567"/>
        <w:rPr>
          <w:b/>
          <w:bCs/>
          <w:sz w:val="24"/>
          <w:szCs w:val="24"/>
        </w:rPr>
      </w:pPr>
      <w:r w:rsidRPr="00C37863">
        <w:rPr>
          <w:i/>
          <w:iCs/>
          <w:sz w:val="24"/>
          <w:szCs w:val="24"/>
        </w:rPr>
        <w:t>Wat zijn de maatschappelijke kosten van de intensieve veehouderij in Nederland?</w:t>
      </w:r>
    </w:p>
    <w:p w14:paraId="26FBE8A2" w14:textId="60D53875" w:rsidR="00381F67" w:rsidRDefault="00832D67" w:rsidP="00C632B2">
      <w:r w:rsidRPr="00C632B2">
        <w:rPr>
          <w:b/>
          <w:bCs/>
        </w:rPr>
        <w:t xml:space="preserve">De intensieve veehouderij is verantwoordelijk voor </w:t>
      </w:r>
      <w:r w:rsidR="003D02D1" w:rsidRPr="00C632B2">
        <w:rPr>
          <w:b/>
          <w:bCs/>
        </w:rPr>
        <w:t xml:space="preserve">rond de </w:t>
      </w:r>
      <w:r w:rsidR="00FF683A" w:rsidRPr="00C632B2">
        <w:rPr>
          <w:b/>
          <w:bCs/>
        </w:rPr>
        <w:t>5</w:t>
      </w:r>
      <w:r w:rsidR="00E3072D" w:rsidRPr="00C632B2">
        <w:rPr>
          <w:b/>
          <w:bCs/>
        </w:rPr>
        <w:t>7</w:t>
      </w:r>
      <w:r w:rsidRPr="00C632B2">
        <w:rPr>
          <w:b/>
          <w:bCs/>
        </w:rPr>
        <w:t xml:space="preserve">% van de jaarlijkse </w:t>
      </w:r>
      <w:r w:rsidR="00FC010B" w:rsidRPr="00C632B2">
        <w:rPr>
          <w:b/>
          <w:bCs/>
        </w:rPr>
        <w:t>maatschappelijke schade</w:t>
      </w:r>
      <w:r w:rsidRPr="00C632B2">
        <w:rPr>
          <w:b/>
          <w:bCs/>
        </w:rPr>
        <w:t xml:space="preserve"> (zie Tabel 2)</w:t>
      </w:r>
      <w:r w:rsidR="00FF683A" w:rsidRPr="00C632B2">
        <w:rPr>
          <w:b/>
          <w:bCs/>
        </w:rPr>
        <w:t xml:space="preserve"> veroorzaakt door de veehouderij. </w:t>
      </w:r>
      <w:r w:rsidR="00FF683A" w:rsidRPr="00FF683A">
        <w:t xml:space="preserve">Dat komt neer op </w:t>
      </w:r>
      <w:r w:rsidR="00C37863">
        <w:rPr>
          <w:rFonts w:cstheme="minorHAnsi"/>
        </w:rPr>
        <w:t>€</w:t>
      </w:r>
      <w:r w:rsidR="00C37863">
        <w:t xml:space="preserve"> 3,2 mld. In 2021. Dat is gelijk aan </w:t>
      </w:r>
      <w:r w:rsidR="00FF683A" w:rsidRPr="00FF683A">
        <w:t>4</w:t>
      </w:r>
      <w:r w:rsidR="00E3072D">
        <w:t>5</w:t>
      </w:r>
      <w:r w:rsidR="00FF683A" w:rsidRPr="00FF683A">
        <w:t>% van de schade door de landbouwsector</w:t>
      </w:r>
      <w:r w:rsidRPr="00FF683A">
        <w:t>.</w:t>
      </w:r>
      <w:r w:rsidR="00C37863">
        <w:t xml:space="preserve"> Als geheel. </w:t>
      </w:r>
      <w:r w:rsidRPr="00832D67">
        <w:t xml:space="preserve"> </w:t>
      </w:r>
      <w:r w:rsidR="00D3057D">
        <w:t xml:space="preserve">Over de afgelopen 15 jaar </w:t>
      </w:r>
      <w:r w:rsidR="0077444C">
        <w:t xml:space="preserve">telt </w:t>
      </w:r>
      <w:r w:rsidR="00C632B2">
        <w:t>dat op</w:t>
      </w:r>
      <w:r w:rsidR="00D3057D">
        <w:t xml:space="preserve"> </w:t>
      </w:r>
      <w:r w:rsidR="0077444C">
        <w:t xml:space="preserve">tot </w:t>
      </w:r>
      <w:r w:rsidR="00D3057D">
        <w:t xml:space="preserve">ongeveer </w:t>
      </w:r>
      <w:r w:rsidR="00751003">
        <w:t xml:space="preserve">Euro </w:t>
      </w:r>
      <w:r w:rsidR="00FF683A">
        <w:t>5</w:t>
      </w:r>
      <w:r w:rsidR="00E3072D">
        <w:t>5</w:t>
      </w:r>
      <w:r w:rsidR="00751003">
        <w:t xml:space="preserve"> miljard (i.e. </w:t>
      </w:r>
      <w:r w:rsidR="00D3057D">
        <w:t xml:space="preserve">Euro </w:t>
      </w:r>
      <w:r w:rsidR="00FF683A">
        <w:t>4</w:t>
      </w:r>
      <w:r w:rsidR="00E3072D">
        <w:t xml:space="preserve">8 </w:t>
      </w:r>
      <w:r w:rsidR="00D3057D">
        <w:t>miljard</w:t>
      </w:r>
      <w:r w:rsidR="00751003">
        <w:t xml:space="preserve"> aan luchtvervuiling en </w:t>
      </w:r>
      <w:r w:rsidR="00E3072D">
        <w:t>7</w:t>
      </w:r>
      <w:r w:rsidR="00751003">
        <w:t xml:space="preserve"> miljard aan watervervuiling).</w:t>
      </w:r>
      <w:r w:rsidR="00FF683A">
        <w:t xml:space="preserve"> </w:t>
      </w:r>
      <w:r w:rsidR="00E3072D">
        <w:t xml:space="preserve">De intensieve veehouderij is voor deze berekening gedefinieerd als hokdieren (99% van de varkens en 100% van de leghennen en vleeskuikens); 85% van de vleeskalveren; en 22% van het melkvee). </w:t>
      </w:r>
      <w:r w:rsidR="00FF683A">
        <w:t xml:space="preserve">Deze uitkomst is een schatting gebaseerd op </w:t>
      </w:r>
      <w:r w:rsidR="00C632B2">
        <w:t xml:space="preserve">de </w:t>
      </w:r>
      <w:r w:rsidR="00FF683A">
        <w:t>percentage</w:t>
      </w:r>
      <w:r w:rsidR="00C632B2">
        <w:t>s</w:t>
      </w:r>
      <w:r w:rsidR="00FF683A">
        <w:t xml:space="preserve"> van dieren dat per veestapel in stallen zonder weidegang en /of als hokdieren gehouden word</w:t>
      </w:r>
      <w:r w:rsidR="00C632B2">
        <w:t>en</w:t>
      </w:r>
      <w:r w:rsidR="00FF683A">
        <w:t>. De tabel geeft de percentages aan die voor deze berekening gehanteerd zijn</w:t>
      </w:r>
      <w:r w:rsidR="00420BA8">
        <w:t xml:space="preserve">. </w:t>
      </w:r>
    </w:p>
    <w:p w14:paraId="44D63264" w14:textId="145EF0A2" w:rsidR="00751003" w:rsidRDefault="00C37863" w:rsidP="005C54E6">
      <w:r w:rsidRPr="00C37863">
        <w:drawing>
          <wp:inline distT="0" distB="0" distL="0" distR="0" wp14:anchorId="4FAE1A41" wp14:editId="446E7A30">
            <wp:extent cx="5926455" cy="2440305"/>
            <wp:effectExtent l="0" t="0" r="0" b="0"/>
            <wp:docPr id="19484848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2440305"/>
                    </a:xfrm>
                    <a:prstGeom prst="rect">
                      <a:avLst/>
                    </a:prstGeom>
                    <a:noFill/>
                    <a:ln>
                      <a:noFill/>
                    </a:ln>
                  </pic:spPr>
                </pic:pic>
              </a:graphicData>
            </a:graphic>
          </wp:inline>
        </w:drawing>
      </w:r>
    </w:p>
    <w:p w14:paraId="170FA365" w14:textId="7963E6CE" w:rsidR="00751003" w:rsidRDefault="00832D67" w:rsidP="00C632B2">
      <w:r w:rsidRPr="00C632B2">
        <w:rPr>
          <w:b/>
          <w:bCs/>
        </w:rPr>
        <w:t xml:space="preserve">Na mei 2019 is de maatschappelijke schade van de natuurcrisis sterk opgelopen. </w:t>
      </w:r>
      <w:r w:rsidRPr="00832D67">
        <w:t xml:space="preserve">Niet door de veehouderij, maar door dat het vergunningenstelsel niet weer opgang is gekomen. Mede door het verzet van de “boeren” is het huidige Kabinet Rutte er nog niet in geslaagd om de “N” uitstoot significant terug te brengen en daardoor is er onvoldoende Stikstof ruimte gecreëerd om Nederland van het stikstofslot te halen. </w:t>
      </w:r>
      <w:r>
        <w:t>Dit heeft de economische groei vertraagd</w:t>
      </w:r>
      <w:r w:rsidR="00C76EFC">
        <w:t xml:space="preserve"> en het FD</w:t>
      </w:r>
      <w:r w:rsidR="00420BA8">
        <w:t xml:space="preserve"> (Financieel Dagblad)</w:t>
      </w:r>
      <w:r w:rsidR="00C76EFC">
        <w:t xml:space="preserve"> heeft recent geschat dat de totale kosten uitgedrukt als reductie van het BBP sinds 2019 Euro 26 miljard bedragen. D.w.z. rond 1% verloren BBP</w:t>
      </w:r>
      <w:r w:rsidR="00D3057D">
        <w:t>-</w:t>
      </w:r>
      <w:r w:rsidR="00C76EFC">
        <w:t xml:space="preserve">groei per jaar (Euro 8 miljard/jaar). </w:t>
      </w:r>
    </w:p>
    <w:p w14:paraId="002EBF0E" w14:textId="77777777" w:rsidR="00A51FD3" w:rsidRDefault="00A51FD3" w:rsidP="00A51FD3">
      <w:pPr>
        <w:pStyle w:val="ListParagraph"/>
      </w:pPr>
    </w:p>
    <w:p w14:paraId="553AFA50" w14:textId="77777777" w:rsidR="000D51BA" w:rsidRDefault="000D51BA" w:rsidP="00A51FD3">
      <w:pPr>
        <w:pStyle w:val="ListParagraph"/>
      </w:pPr>
    </w:p>
    <w:p w14:paraId="3A7404F3" w14:textId="77777777" w:rsidR="00C76E34" w:rsidRDefault="00C76E34" w:rsidP="00644FFD">
      <w:pPr>
        <w:spacing w:after="0"/>
      </w:pPr>
    </w:p>
    <w:p w14:paraId="536230D9" w14:textId="77777777" w:rsidR="00C76E34" w:rsidRDefault="00C76E34" w:rsidP="00644FFD">
      <w:pPr>
        <w:spacing w:after="0"/>
      </w:pPr>
    </w:p>
    <w:p w14:paraId="7B543735" w14:textId="77777777" w:rsidR="00C76E34" w:rsidRDefault="00C76E34" w:rsidP="00644FFD">
      <w:pPr>
        <w:spacing w:after="0"/>
      </w:pPr>
    </w:p>
    <w:p w14:paraId="1565B6D8" w14:textId="77777777" w:rsidR="00C76E34" w:rsidRDefault="00C76E34" w:rsidP="00644FFD">
      <w:pPr>
        <w:spacing w:after="0"/>
      </w:pPr>
    </w:p>
    <w:p w14:paraId="42D67F4E" w14:textId="75AEE7EE" w:rsidR="00DE5325" w:rsidRDefault="00DE5325" w:rsidP="00DE5325"/>
    <w:p w14:paraId="5ADEC7B0" w14:textId="3F344DEC" w:rsidR="00C76E34" w:rsidRPr="00C37863" w:rsidRDefault="00C76E34" w:rsidP="00C37863">
      <w:pPr>
        <w:pStyle w:val="ListParagraph"/>
        <w:numPr>
          <w:ilvl w:val="1"/>
          <w:numId w:val="27"/>
        </w:numPr>
        <w:ind w:left="567" w:hanging="567"/>
        <w:rPr>
          <w:b/>
          <w:bCs/>
          <w:i/>
          <w:iCs/>
        </w:rPr>
      </w:pPr>
      <w:r w:rsidRPr="00C37863">
        <w:rPr>
          <w:i/>
          <w:iCs/>
        </w:rPr>
        <w:t>Kan beargumenteerd worden dat de Rabobank een medeaanjager is van de stikstofcrisis, en zo ja, welk deel van de rekening zou dan bij de Rabobank kunnen worden neergelegd?</w:t>
      </w:r>
    </w:p>
    <w:p w14:paraId="486588CE" w14:textId="77777777" w:rsidR="00C76E34" w:rsidRPr="00C76E34" w:rsidRDefault="00C76E34" w:rsidP="00C76E34">
      <w:pPr>
        <w:pStyle w:val="ListParagraph"/>
        <w:ind w:left="567"/>
        <w:rPr>
          <w:b/>
          <w:bCs/>
          <w:i/>
          <w:iCs/>
        </w:rPr>
      </w:pPr>
    </w:p>
    <w:p w14:paraId="7E3C631A" w14:textId="38976A4F" w:rsidR="00832D67" w:rsidRPr="00A96B43" w:rsidRDefault="00836277" w:rsidP="00C37863">
      <w:r w:rsidRPr="00C37863">
        <w:rPr>
          <w:b/>
          <w:bCs/>
        </w:rPr>
        <w:t xml:space="preserve">De Rabobank is “De Bank voor Boeren” </w:t>
      </w:r>
      <w:r w:rsidRPr="00A96B43">
        <w:t xml:space="preserve">en heeft als adviseur voor boeren en financier een belangrijke rol in de wijze waarop Landbouw en veehouderij sector zich heeft kunnen ontwikkelen in Nederland. </w:t>
      </w:r>
      <w:r w:rsidR="00A96B43" w:rsidRPr="00A96B43">
        <w:t xml:space="preserve"> Het is alleszins redelijk de bank te zien als medeaanjager van</w:t>
      </w:r>
      <w:r w:rsidR="00CF133B">
        <w:t xml:space="preserve">: (i) </w:t>
      </w:r>
      <w:r w:rsidR="00A96B43" w:rsidRPr="00A96B43">
        <w:t>de groei van de sector na 2007</w:t>
      </w:r>
      <w:r w:rsidR="00CF133B">
        <w:t>; (ii)</w:t>
      </w:r>
      <w:r w:rsidR="00A96B43" w:rsidRPr="00A96B43">
        <w:t xml:space="preserve"> het huidige hoge schuld niveau van veel veehouders; en </w:t>
      </w:r>
      <w:r w:rsidR="00CF133B">
        <w:t xml:space="preserve">(iii) </w:t>
      </w:r>
      <w:r w:rsidR="00A96B43" w:rsidRPr="00A96B43">
        <w:t xml:space="preserve">van de stikstofcrisis (Nederland op slot) waar we nu inzitten en die op onomkeerbare wijze moet worden opgelost, en wel op korte termijn. </w:t>
      </w:r>
    </w:p>
    <w:p w14:paraId="67F3D11E" w14:textId="738B77BA" w:rsidR="00961925" w:rsidRDefault="0064213E" w:rsidP="00C37863">
      <w:r w:rsidRPr="00961925">
        <w:t>De toename</w:t>
      </w:r>
      <w:r w:rsidRPr="00C37863">
        <w:rPr>
          <w:b/>
          <w:bCs/>
        </w:rPr>
        <w:t xml:space="preserve"> </w:t>
      </w:r>
      <w:r w:rsidRPr="00961925">
        <w:t>van de gemiddelde bankschuld van veehouderijbedrijven over de periode 2007-202</w:t>
      </w:r>
      <w:r w:rsidR="00C37863">
        <w:t>2</w:t>
      </w:r>
      <w:r w:rsidRPr="00961925">
        <w:t xml:space="preserve"> kan met AFM</w:t>
      </w:r>
      <w:r w:rsidR="00630101">
        <w:t xml:space="preserve"> en CBS</w:t>
      </w:r>
      <w:r w:rsidR="003D3DAC">
        <w:t>-</w:t>
      </w:r>
      <w:r w:rsidRPr="00961925">
        <w:t xml:space="preserve">data worden ingeschat op </w:t>
      </w:r>
      <w:r w:rsidR="00630101">
        <w:t>550</w:t>
      </w:r>
      <w:r w:rsidRPr="00961925">
        <w:t>.000</w:t>
      </w:r>
      <w:r w:rsidRPr="00961925">
        <w:rPr>
          <w:rStyle w:val="FootnoteReference"/>
        </w:rPr>
        <w:footnoteReference w:id="5"/>
      </w:r>
      <w:r w:rsidRPr="00961925">
        <w:t xml:space="preserve">. De totale gemiddelde schuld is toegenomen van gemiddeld </w:t>
      </w:r>
      <w:r w:rsidR="00A534A1">
        <w:t>45</w:t>
      </w:r>
      <w:r w:rsidRPr="00961925">
        <w:t xml:space="preserve">0.000 </w:t>
      </w:r>
      <w:r w:rsidR="00A168DA">
        <w:t xml:space="preserve">in 2007 </w:t>
      </w:r>
      <w:r w:rsidRPr="00961925">
        <w:t>naar 1,</w:t>
      </w:r>
      <w:r w:rsidR="00A534A1">
        <w:t xml:space="preserve">0 </w:t>
      </w:r>
      <w:r w:rsidRPr="00961925">
        <w:t>miljoen</w:t>
      </w:r>
      <w:r w:rsidR="00A168DA">
        <w:t xml:space="preserve"> in 2022</w:t>
      </w:r>
      <w:r w:rsidRPr="00961925">
        <w:t xml:space="preserve">. </w:t>
      </w:r>
      <w:r>
        <w:t xml:space="preserve"> </w:t>
      </w:r>
      <w:r w:rsidRPr="00961925">
        <w:t>Dit duidt</w:t>
      </w:r>
      <w:r w:rsidR="00A168DA">
        <w:t xml:space="preserve"> </w:t>
      </w:r>
      <w:r w:rsidRPr="00961925">
        <w:t xml:space="preserve">op een toename van de lange termijn financiering </w:t>
      </w:r>
      <w:r>
        <w:t xml:space="preserve">van de veehouderijsector in Nederland </w:t>
      </w:r>
      <w:r w:rsidRPr="00961925">
        <w:t xml:space="preserve">met Euro 15 miljard. </w:t>
      </w:r>
      <w:r w:rsidR="0076640E" w:rsidRPr="00961925">
        <w:t xml:space="preserve">Cijfers over de jaarlijkse winsten van de </w:t>
      </w:r>
      <w:r w:rsidR="00592D04" w:rsidRPr="00961925">
        <w:t>Rabobank</w:t>
      </w:r>
      <w:r w:rsidR="0076640E" w:rsidRPr="00961925">
        <w:t xml:space="preserve"> die de veehouderij in Nederland als basis hebben zijn (mij) niet bekend. Een “</w:t>
      </w:r>
      <w:r w:rsidR="00961925" w:rsidRPr="00961925">
        <w:t xml:space="preserve">achterkant van de enveloppe </w:t>
      </w:r>
      <w:r w:rsidR="0076640E" w:rsidRPr="00961925">
        <w:t xml:space="preserve">” berekening </w:t>
      </w:r>
      <w:r w:rsidR="00592D04">
        <w:t xml:space="preserve">op basis van de Rabobank jaarverslagen </w:t>
      </w:r>
      <w:r w:rsidR="0076640E" w:rsidRPr="00961925">
        <w:t xml:space="preserve">komt uit op </w:t>
      </w:r>
      <w:r w:rsidR="00961925" w:rsidRPr="00961925">
        <w:t>een</w:t>
      </w:r>
      <w:r w:rsidR="0076640E" w:rsidRPr="00961925">
        <w:t xml:space="preserve"> totaal </w:t>
      </w:r>
      <w:r w:rsidR="00961925" w:rsidRPr="00961925">
        <w:t xml:space="preserve">van </w:t>
      </w:r>
      <w:r w:rsidR="00895FAB">
        <w:t xml:space="preserve">ongeveer </w:t>
      </w:r>
      <w:r w:rsidR="0076640E" w:rsidRPr="00961925">
        <w:t xml:space="preserve">Euro </w:t>
      </w:r>
      <w:r w:rsidR="00630101">
        <w:t>3,7</w:t>
      </w:r>
      <w:r w:rsidR="00C76E34">
        <w:t xml:space="preserve"> </w:t>
      </w:r>
      <w:r w:rsidR="0076640E" w:rsidRPr="00961925">
        <w:t xml:space="preserve">miljard </w:t>
      </w:r>
      <w:r w:rsidR="00961925" w:rsidRPr="00961925">
        <w:t xml:space="preserve">aan (netto) </w:t>
      </w:r>
      <w:r w:rsidR="00592D04" w:rsidRPr="00961925">
        <w:t>rente-inkomsten</w:t>
      </w:r>
      <w:r w:rsidR="00961925" w:rsidRPr="00961925">
        <w:t xml:space="preserve"> </w:t>
      </w:r>
      <w:r w:rsidR="0076640E" w:rsidRPr="00961925">
        <w:t>over de periode 200</w:t>
      </w:r>
      <w:r w:rsidR="00630101">
        <w:t>8</w:t>
      </w:r>
      <w:r w:rsidR="0076640E" w:rsidRPr="00961925">
        <w:t xml:space="preserve">-2022. Daarvan kan </w:t>
      </w:r>
      <w:r w:rsidR="00F4631A">
        <w:t>0,95</w:t>
      </w:r>
      <w:r w:rsidR="0076640E" w:rsidRPr="00961925">
        <w:t xml:space="preserve"> miljard worden toegeschreven aan de toegenomen schuldomvang van de boeren </w:t>
      </w:r>
      <w:r w:rsidR="00961925" w:rsidRPr="00961925">
        <w:t>sinds 2007</w:t>
      </w:r>
      <w:r w:rsidR="0098537C">
        <w:t xml:space="preserve"> (</w:t>
      </w:r>
      <w:r w:rsidR="00592D04">
        <w:t>z</w:t>
      </w:r>
      <w:r w:rsidR="0098537C">
        <w:t>ie tabel 6).</w:t>
      </w:r>
      <w:r w:rsidR="00F4631A">
        <w:t xml:space="preserve"> De Rabobank bedient natuurlijk ook andere klanten in de Veehouderij keten maar daar kan ik geen cijfers voor vinden. Het lijkt mij niet onwaarschijnlijk dat de </w:t>
      </w:r>
      <w:r w:rsidR="007F7642">
        <w:t>rente-inkomsten</w:t>
      </w:r>
      <w:r w:rsidR="00F4631A">
        <w:t xml:space="preserve"> op leningen aan leveranciers en verwerkers </w:t>
      </w:r>
      <w:r w:rsidR="003D3DAC">
        <w:t xml:space="preserve">in de veehouderij tak van de agrosector </w:t>
      </w:r>
      <w:r w:rsidR="00F4631A">
        <w:t xml:space="preserve">vergelijkbare bedragen opleveren. </w:t>
      </w:r>
    </w:p>
    <w:p w14:paraId="12E7BE92" w14:textId="77777777" w:rsidR="003D3DAC" w:rsidRDefault="003D3DAC" w:rsidP="003D3DAC">
      <w:pPr>
        <w:pStyle w:val="ListParagraph"/>
      </w:pPr>
    </w:p>
    <w:p w14:paraId="52A0A190" w14:textId="69676CFD" w:rsidR="0098537C" w:rsidRDefault="003D3DAC" w:rsidP="007F7642">
      <w:pPr>
        <w:pStyle w:val="ListParagraph"/>
        <w:ind w:hanging="720"/>
      </w:pPr>
      <w:r>
        <w:rPr>
          <w:noProof/>
        </w:rPr>
        <w:drawing>
          <wp:inline distT="0" distB="0" distL="0" distR="0" wp14:anchorId="63CF0608" wp14:editId="3CF6F6D0">
            <wp:extent cx="5925820" cy="25787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820" cy="2578735"/>
                    </a:xfrm>
                    <a:prstGeom prst="rect">
                      <a:avLst/>
                    </a:prstGeom>
                    <a:noFill/>
                  </pic:spPr>
                </pic:pic>
              </a:graphicData>
            </a:graphic>
          </wp:inline>
        </w:drawing>
      </w:r>
    </w:p>
    <w:p w14:paraId="1B0870E3" w14:textId="7EC49747" w:rsidR="003D3DAC" w:rsidRDefault="0075589A" w:rsidP="0098537C">
      <w:pPr>
        <w:pStyle w:val="ListParagraph"/>
        <w:rPr>
          <w:sz w:val="18"/>
          <w:szCs w:val="18"/>
        </w:rPr>
      </w:pPr>
      <w:r w:rsidRPr="0075589A">
        <w:rPr>
          <w:sz w:val="18"/>
          <w:szCs w:val="18"/>
        </w:rPr>
        <w:t xml:space="preserve">Bron: SCHOON 4.0; Greenpeace, Schuldanalyse-Rabobank, </w:t>
      </w:r>
      <w:proofErr w:type="spellStart"/>
      <w:r w:rsidRPr="0075589A">
        <w:rPr>
          <w:sz w:val="18"/>
          <w:szCs w:val="18"/>
        </w:rPr>
        <w:t>MvdS</w:t>
      </w:r>
      <w:proofErr w:type="spellEnd"/>
      <w:r w:rsidRPr="0075589A">
        <w:rPr>
          <w:sz w:val="18"/>
          <w:szCs w:val="18"/>
        </w:rPr>
        <w:t xml:space="preserve"> @EG22, maart 2023</w:t>
      </w:r>
    </w:p>
    <w:p w14:paraId="4594F695" w14:textId="544A4A16" w:rsidR="0075589A" w:rsidRPr="00AE5295" w:rsidRDefault="00895FAB" w:rsidP="0098537C">
      <w:pPr>
        <w:pStyle w:val="ListParagraph"/>
        <w:rPr>
          <w:sz w:val="18"/>
          <w:szCs w:val="18"/>
        </w:rPr>
      </w:pPr>
      <w:r w:rsidRPr="00895FAB">
        <w:rPr>
          <w:sz w:val="18"/>
          <w:szCs w:val="18"/>
          <w:u w:val="single"/>
        </w:rPr>
        <w:t>Let op!</w:t>
      </w:r>
      <w:r>
        <w:rPr>
          <w:sz w:val="18"/>
          <w:szCs w:val="18"/>
          <w:u w:val="single"/>
        </w:rPr>
        <w:t xml:space="preserve"> </w:t>
      </w:r>
      <w:r w:rsidRPr="00AE5295">
        <w:rPr>
          <w:sz w:val="18"/>
          <w:szCs w:val="18"/>
        </w:rPr>
        <w:t>De bovenstaande tabel geeft twee verschillende benaderingen om in te schatten hoeveel de Rabobank verdien</w:t>
      </w:r>
      <w:r w:rsidR="00AE5295">
        <w:rPr>
          <w:sz w:val="18"/>
          <w:szCs w:val="18"/>
        </w:rPr>
        <w:t>d</w:t>
      </w:r>
      <w:r w:rsidRPr="00AE5295">
        <w:rPr>
          <w:sz w:val="18"/>
          <w:szCs w:val="18"/>
        </w:rPr>
        <w:t xml:space="preserve"> heeft aan de </w:t>
      </w:r>
      <w:proofErr w:type="spellStart"/>
      <w:r w:rsidRPr="00AE5295">
        <w:rPr>
          <w:sz w:val="18"/>
          <w:szCs w:val="18"/>
        </w:rPr>
        <w:t>verschulding</w:t>
      </w:r>
      <w:proofErr w:type="spellEnd"/>
      <w:r w:rsidRPr="00AE5295">
        <w:rPr>
          <w:sz w:val="18"/>
          <w:szCs w:val="18"/>
        </w:rPr>
        <w:t xml:space="preserve"> van de veehouderij. De </w:t>
      </w:r>
      <w:r w:rsidR="00AE5295" w:rsidRPr="00AE5295">
        <w:rPr>
          <w:sz w:val="18"/>
          <w:szCs w:val="18"/>
        </w:rPr>
        <w:t xml:space="preserve">schuldanalyse komt uit op </w:t>
      </w:r>
      <w:r w:rsidR="00AE5295" w:rsidRPr="00AE5295">
        <w:rPr>
          <w:rFonts w:cstheme="minorHAnsi"/>
          <w:sz w:val="18"/>
          <w:szCs w:val="18"/>
        </w:rPr>
        <w:t>€</w:t>
      </w:r>
      <w:r w:rsidR="00AE5295" w:rsidRPr="00AE5295">
        <w:rPr>
          <w:sz w:val="18"/>
          <w:szCs w:val="18"/>
        </w:rPr>
        <w:t xml:space="preserve"> 3.7 miljard. De winstanalyse toedeling – min</w:t>
      </w:r>
      <w:r w:rsidR="00A168DA">
        <w:rPr>
          <w:sz w:val="18"/>
          <w:szCs w:val="18"/>
        </w:rPr>
        <w:t xml:space="preserve">der </w:t>
      </w:r>
      <w:r w:rsidR="00AE5295" w:rsidRPr="00AE5295">
        <w:rPr>
          <w:sz w:val="18"/>
          <w:szCs w:val="18"/>
        </w:rPr>
        <w:t>gedegen, komt uit om een vergelijkbaar bedrag.</w:t>
      </w:r>
    </w:p>
    <w:p w14:paraId="11B7F829" w14:textId="77777777" w:rsidR="00895FAB" w:rsidRPr="00AE5295" w:rsidRDefault="00895FAB" w:rsidP="00895FAB">
      <w:pPr>
        <w:pStyle w:val="ListParagraph"/>
      </w:pPr>
    </w:p>
    <w:p w14:paraId="0ECF7BE7" w14:textId="77777777" w:rsidR="00223E88" w:rsidRDefault="00C11D27" w:rsidP="00223E88">
      <w:r w:rsidRPr="00223E88">
        <w:rPr>
          <w:i/>
          <w:iCs/>
        </w:rPr>
        <w:lastRenderedPageBreak/>
        <w:t>Wat is redelijk? Wie zou wat moeten bijdragen aan de rekening voor het oplossen van de brede maatschappelijke welvaartskosten veroorzaakt door de veehouderij in Nederland?</w:t>
      </w:r>
      <w:r w:rsidRPr="00C11D27">
        <w:t xml:space="preserve"> </w:t>
      </w:r>
    </w:p>
    <w:p w14:paraId="266FEDB1" w14:textId="40928215" w:rsidR="007F7642" w:rsidRDefault="00CF66CC" w:rsidP="00223E88">
      <w:r>
        <w:t xml:space="preserve">Een denkrichting hier is om alle betrokken bij de productie in de agrarische sector proportioneel te laten bijdrage aan de kosten; en ook de consumenten in Nederland en </w:t>
      </w:r>
      <w:r w:rsidR="00A168DA">
        <w:t>b</w:t>
      </w:r>
      <w:r>
        <w:t>uiten Nederland</w:t>
      </w:r>
      <w:r w:rsidR="0064213E">
        <w:t xml:space="preserve">. </w:t>
      </w:r>
      <w:r w:rsidR="0064213E" w:rsidRPr="00223E88">
        <w:rPr>
          <w:u w:val="single"/>
        </w:rPr>
        <w:t>Tabel 7</w:t>
      </w:r>
      <w:r w:rsidR="0064213E">
        <w:t xml:space="preserve"> geeft </w:t>
      </w:r>
      <w:r w:rsidR="00BA1EF6">
        <w:t xml:space="preserve">aan </w:t>
      </w:r>
      <w:r w:rsidR="0064213E">
        <w:t xml:space="preserve">hoe de verdiensten in de veehouderij sector verdeeld zijn over de toeleveranciers, </w:t>
      </w:r>
      <w:proofErr w:type="gramStart"/>
      <w:r w:rsidR="0064213E">
        <w:t>de</w:t>
      </w:r>
      <w:proofErr w:type="gramEnd"/>
      <w:r w:rsidR="0064213E">
        <w:t xml:space="preserve"> boeren, de handel en de banken. Het aandeel van de Rabobank </w:t>
      </w:r>
      <w:r w:rsidR="00A168DA">
        <w:t>(</w:t>
      </w:r>
      <w:r w:rsidR="001026A9">
        <w:t>rente-inkomsten</w:t>
      </w:r>
      <w:r w:rsidR="00A168DA">
        <w:t xml:space="preserve">) </w:t>
      </w:r>
      <w:r w:rsidR="0064213E">
        <w:t xml:space="preserve">komt uit op </w:t>
      </w:r>
      <w:r w:rsidR="00F4631A">
        <w:t>3,1</w:t>
      </w:r>
      <w:r w:rsidR="00BA1EF6">
        <w:t>% van</w:t>
      </w:r>
      <w:r w:rsidR="0064213E">
        <w:t xml:space="preserve"> de BBP-bijdrage.  </w:t>
      </w:r>
    </w:p>
    <w:p w14:paraId="60C39AD5" w14:textId="272C2E32" w:rsidR="007F7642" w:rsidRDefault="007F7642" w:rsidP="007F7642">
      <w:pPr>
        <w:tabs>
          <w:tab w:val="left" w:pos="709"/>
        </w:tabs>
        <w:ind w:left="360" w:hanging="360"/>
      </w:pPr>
      <w:r>
        <w:rPr>
          <w:noProof/>
        </w:rPr>
        <w:drawing>
          <wp:inline distT="0" distB="0" distL="0" distR="0" wp14:anchorId="2EE8B40D" wp14:editId="0A36A858">
            <wp:extent cx="5925820" cy="110363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820" cy="1103630"/>
                    </a:xfrm>
                    <a:prstGeom prst="rect">
                      <a:avLst/>
                    </a:prstGeom>
                    <a:noFill/>
                  </pic:spPr>
                </pic:pic>
              </a:graphicData>
            </a:graphic>
          </wp:inline>
        </w:drawing>
      </w:r>
    </w:p>
    <w:p w14:paraId="45165FFD" w14:textId="77777777" w:rsidR="001026A9" w:rsidRDefault="001026A9" w:rsidP="001026A9">
      <w:r>
        <w:t xml:space="preserve">Deze geeft aan dat de Rabobank 3.1% van de (winsten) verdiensten in veehouderij sector “opstrijkt”. Uitgaande van dat percentage zou de Rabobank aansprakelijk gesteld kunnen worden voor (3,1% van euro 100 mld. D.w.z. </w:t>
      </w:r>
      <w:r w:rsidRPr="00223E88">
        <w:rPr>
          <w:b/>
          <w:bCs/>
        </w:rPr>
        <w:t>3,1 mld. euro</w:t>
      </w:r>
      <w:r>
        <w:t xml:space="preserve">. </w:t>
      </w:r>
    </w:p>
    <w:p w14:paraId="4319B346" w14:textId="3E0AAD85" w:rsidR="00223E88" w:rsidRDefault="0064213E" w:rsidP="00223E88">
      <w:r>
        <w:t xml:space="preserve">Met deze </w:t>
      </w:r>
      <w:r w:rsidR="001026A9">
        <w:t xml:space="preserve">uitkomst </w:t>
      </w:r>
      <w:r>
        <w:t xml:space="preserve">in de hand is </w:t>
      </w:r>
      <w:r w:rsidRPr="00223E88">
        <w:rPr>
          <w:u w:val="single"/>
        </w:rPr>
        <w:t>Tabel 8</w:t>
      </w:r>
      <w:r>
        <w:t xml:space="preserve"> opgesteld. </w:t>
      </w:r>
      <w:r w:rsidR="00223E88">
        <w:t xml:space="preserve">De idee is om </w:t>
      </w:r>
      <w:r w:rsidR="001026A9">
        <w:t xml:space="preserve">naast </w:t>
      </w:r>
      <w:r w:rsidR="00223E88">
        <w:t>de Rabobank ook ander</w:t>
      </w:r>
      <w:r w:rsidR="001026A9">
        <w:t>e</w:t>
      </w:r>
      <w:r w:rsidR="00223E88">
        <w:t xml:space="preserve"> ketenpartners mee te laten betalen aan de financiële kosten van de maatregelen die nodig zullen zijn om de ‘natuurcrisis” op te lossen. Een gedachte waar ook Minister Adema mee speelde bij zijn aantreden. </w:t>
      </w:r>
      <w:r w:rsidR="00223E88">
        <w:t xml:space="preserve"> De gedachte achter de verdeelsleutel is dat </w:t>
      </w:r>
      <w:r w:rsidR="00C32E32">
        <w:t xml:space="preserve">naast de Banken ook andere partijen geld hebben verdiend en of hebben geprofiteerd d.m.v. lage prijzen (consumenten) van het landbouwsysteem in Nederland en dus medeverantwoordelijk zijn voor de milieuschade, en mee moeten betalen voor het opruimen van de schade. Het vervuiler betaald principe (PPP) is in tabel 8 als denkrichting uitgewerkt. </w:t>
      </w:r>
    </w:p>
    <w:p w14:paraId="6612EDFE" w14:textId="6E3919C3" w:rsidR="00BA0EFF" w:rsidRDefault="001026A9" w:rsidP="004C10E5">
      <w:pPr>
        <w:pStyle w:val="ListParagraph"/>
        <w:ind w:left="0"/>
      </w:pPr>
      <w:r w:rsidRPr="001026A9">
        <w:drawing>
          <wp:inline distT="0" distB="0" distL="0" distR="0" wp14:anchorId="0D9B77C7" wp14:editId="01EBDA17">
            <wp:extent cx="5926455" cy="2051050"/>
            <wp:effectExtent l="0" t="0" r="0" b="6350"/>
            <wp:docPr id="21180780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455" cy="2051050"/>
                    </a:xfrm>
                    <a:prstGeom prst="rect">
                      <a:avLst/>
                    </a:prstGeom>
                    <a:noFill/>
                    <a:ln>
                      <a:noFill/>
                    </a:ln>
                  </pic:spPr>
                </pic:pic>
              </a:graphicData>
            </a:graphic>
          </wp:inline>
        </w:drawing>
      </w:r>
    </w:p>
    <w:p w14:paraId="1C405BF1" w14:textId="4786AC41" w:rsidR="007F7642" w:rsidRDefault="007F7642" w:rsidP="007F7642">
      <w:pPr>
        <w:pStyle w:val="ListParagraph"/>
        <w:ind w:left="0"/>
      </w:pPr>
    </w:p>
    <w:p w14:paraId="27BDE36C" w14:textId="7876F8F4" w:rsidR="00270691" w:rsidRDefault="009E32A0" w:rsidP="007F7642">
      <w:bookmarkStart w:id="2" w:name="_Hlk131363368"/>
      <w:r>
        <w:t>Conclusie</w:t>
      </w:r>
      <w:r w:rsidR="00B118D7">
        <w:t>s</w:t>
      </w:r>
      <w:r>
        <w:t xml:space="preserve">. In deze notitie zijn denkrichtingen uitgewerkt om te komen tot een logische onderbouwing voor een schadeclaim bij de Rabobank. </w:t>
      </w:r>
      <w:r w:rsidR="00270691">
        <w:t>Hierbij kom</w:t>
      </w:r>
      <w:r w:rsidR="00223E88">
        <w:t xml:space="preserve">t als bedrag </w:t>
      </w:r>
      <w:r w:rsidR="00270691">
        <w:t>uit</w:t>
      </w:r>
      <w:r w:rsidR="00223E88">
        <w:t>:</w:t>
      </w:r>
    </w:p>
    <w:p w14:paraId="4359BF65" w14:textId="475D5741" w:rsidR="00270691" w:rsidRDefault="00270691" w:rsidP="00223E88">
      <w:pPr>
        <w:pStyle w:val="ListParagraph"/>
        <w:numPr>
          <w:ilvl w:val="0"/>
          <w:numId w:val="10"/>
        </w:numPr>
        <w:ind w:left="567" w:hanging="283"/>
      </w:pPr>
      <w:r>
        <w:t xml:space="preserve">Euro </w:t>
      </w:r>
      <w:r w:rsidR="00685903">
        <w:t>3.1</w:t>
      </w:r>
      <w:r>
        <w:t xml:space="preserve"> miljard – Rabobank als medeverantwoordelijke voor Euro 100 miljard cumulatieve schade voor de brede maatschappelijke welvaart in Nederland (200</w:t>
      </w:r>
      <w:r w:rsidR="00223E88">
        <w:t>8</w:t>
      </w:r>
      <w:r>
        <w:t>-2022)</w:t>
      </w:r>
    </w:p>
    <w:bookmarkEnd w:id="2"/>
    <w:p w14:paraId="150F7DDB" w14:textId="77777777" w:rsidR="00AE5295" w:rsidRDefault="00AE5295" w:rsidP="00223E88">
      <w:pPr>
        <w:ind w:left="567" w:hanging="283"/>
        <w:rPr>
          <w:i/>
          <w:iCs/>
        </w:rPr>
      </w:pPr>
    </w:p>
    <w:p w14:paraId="380496B3" w14:textId="77777777" w:rsidR="00AE5295" w:rsidRDefault="00AE5295">
      <w:pPr>
        <w:pBdr>
          <w:bottom w:val="single" w:sz="6" w:space="1" w:color="auto"/>
        </w:pBdr>
        <w:rPr>
          <w:i/>
          <w:iCs/>
        </w:rPr>
      </w:pPr>
    </w:p>
    <w:p w14:paraId="53D645C2" w14:textId="77777777" w:rsidR="00AE5295" w:rsidRDefault="00AE5295">
      <w:pPr>
        <w:rPr>
          <w:i/>
          <w:iCs/>
        </w:rPr>
      </w:pPr>
    </w:p>
    <w:p w14:paraId="3767C35C" w14:textId="302DD64B" w:rsidR="00AE5295" w:rsidRPr="00AE5295" w:rsidRDefault="00AE5295">
      <w:pPr>
        <w:rPr>
          <w:b/>
          <w:bCs/>
          <w:i/>
          <w:iCs/>
        </w:rPr>
      </w:pPr>
      <w:r w:rsidRPr="00AE5295">
        <w:rPr>
          <w:b/>
          <w:bCs/>
          <w:i/>
          <w:iCs/>
        </w:rPr>
        <w:t>Bijlage 1</w:t>
      </w:r>
      <w:r w:rsidR="00E02591">
        <w:rPr>
          <w:b/>
          <w:bCs/>
          <w:i/>
          <w:iCs/>
        </w:rPr>
        <w:tab/>
        <w:t xml:space="preserve">Ondersteunende tabellen </w:t>
      </w:r>
    </w:p>
    <w:p w14:paraId="308391B9" w14:textId="77777777" w:rsidR="00AE5295" w:rsidRDefault="00AE5295">
      <w:pPr>
        <w:rPr>
          <w:b/>
          <w:bCs/>
          <w:i/>
          <w:iCs/>
        </w:rPr>
      </w:pPr>
      <w:r w:rsidRPr="00AE5295">
        <w:rPr>
          <w:b/>
          <w:bCs/>
          <w:i/>
          <w:iCs/>
        </w:rPr>
        <w:t>Bijlage 2</w:t>
      </w:r>
      <w:r w:rsidRPr="00AE5295">
        <w:rPr>
          <w:b/>
          <w:bCs/>
          <w:i/>
          <w:iCs/>
        </w:rPr>
        <w:tab/>
        <w:t>De intensieve veehouderij kost Nederland meer dan het opbrengt</w:t>
      </w:r>
    </w:p>
    <w:p w14:paraId="5AA2E542" w14:textId="77777777" w:rsidR="00E02591" w:rsidRDefault="00AE5295">
      <w:pPr>
        <w:rPr>
          <w:b/>
          <w:bCs/>
          <w:i/>
          <w:iCs/>
        </w:rPr>
      </w:pPr>
      <w:r>
        <w:rPr>
          <w:b/>
          <w:bCs/>
          <w:i/>
          <w:iCs/>
        </w:rPr>
        <w:t>Bijlage 3</w:t>
      </w:r>
      <w:r>
        <w:rPr>
          <w:b/>
          <w:bCs/>
          <w:i/>
          <w:iCs/>
        </w:rPr>
        <w:tab/>
      </w:r>
      <w:r w:rsidR="0030019C">
        <w:rPr>
          <w:b/>
          <w:bCs/>
          <w:i/>
          <w:iCs/>
        </w:rPr>
        <w:t xml:space="preserve">Melkaanvoer en zuivelproductie </w:t>
      </w:r>
      <w:r w:rsidR="00E02591">
        <w:rPr>
          <w:b/>
          <w:bCs/>
          <w:i/>
          <w:iCs/>
        </w:rPr>
        <w:t>grafiekje</w:t>
      </w:r>
    </w:p>
    <w:p w14:paraId="2DFB9447" w14:textId="74575B1E" w:rsidR="005C0AFB" w:rsidRDefault="00E02591" w:rsidP="00190DA4">
      <w:pPr>
        <w:ind w:left="1418" w:hanging="1418"/>
        <w:rPr>
          <w:i/>
          <w:iCs/>
        </w:rPr>
      </w:pPr>
      <w:r>
        <w:rPr>
          <w:b/>
          <w:bCs/>
          <w:i/>
          <w:iCs/>
        </w:rPr>
        <w:t xml:space="preserve">Bijlage </w:t>
      </w:r>
      <w:r w:rsidR="001026A9">
        <w:rPr>
          <w:b/>
          <w:bCs/>
          <w:i/>
          <w:iCs/>
        </w:rPr>
        <w:t>4</w:t>
      </w:r>
      <w:r>
        <w:rPr>
          <w:b/>
          <w:bCs/>
          <w:i/>
          <w:iCs/>
        </w:rPr>
        <w:tab/>
        <w:t>Een Ethical Growth/Greenpeace scenario voor de transformatie van de veehouderij</w:t>
      </w:r>
      <w:r w:rsidR="00190DA4">
        <w:rPr>
          <w:b/>
          <w:bCs/>
          <w:i/>
          <w:iCs/>
        </w:rPr>
        <w:t xml:space="preserve">.  Deze bijlage is beschikbaar als los document. </w:t>
      </w:r>
      <w:r w:rsidR="005C0AFB" w:rsidRPr="00267270">
        <w:rPr>
          <w:i/>
          <w:iCs/>
        </w:rPr>
        <w:br w:type="page"/>
      </w:r>
    </w:p>
    <w:p w14:paraId="3149A0F2" w14:textId="77777777" w:rsidR="00AE5295" w:rsidRPr="00267270" w:rsidRDefault="00AE5295">
      <w:pPr>
        <w:rPr>
          <w:i/>
          <w:iCs/>
        </w:rPr>
      </w:pPr>
    </w:p>
    <w:p w14:paraId="62F7AF5D" w14:textId="408A90C1" w:rsidR="00E02591" w:rsidRDefault="00E02591" w:rsidP="00381F67">
      <w:pPr>
        <w:rPr>
          <w:b/>
          <w:bCs/>
          <w:sz w:val="28"/>
          <w:szCs w:val="28"/>
        </w:rPr>
      </w:pPr>
      <w:r w:rsidRPr="00426497">
        <w:rPr>
          <w:b/>
          <w:bCs/>
          <w:sz w:val="28"/>
          <w:szCs w:val="28"/>
        </w:rPr>
        <w:t xml:space="preserve">Bijlage 1.  </w:t>
      </w:r>
      <w:r w:rsidR="00F227B6" w:rsidRPr="00426497">
        <w:rPr>
          <w:b/>
          <w:bCs/>
          <w:sz w:val="28"/>
          <w:szCs w:val="28"/>
        </w:rPr>
        <w:t xml:space="preserve">Ondersteunende tabellen </w:t>
      </w:r>
    </w:p>
    <w:p w14:paraId="0269C1ED" w14:textId="77777777" w:rsidR="00EA1AA5" w:rsidRDefault="00EA1AA5" w:rsidP="00381F67">
      <w:pPr>
        <w:rPr>
          <w:b/>
          <w:bCs/>
          <w:sz w:val="28"/>
          <w:szCs w:val="28"/>
        </w:rPr>
      </w:pPr>
    </w:p>
    <w:p w14:paraId="45ABEB9D" w14:textId="77777777" w:rsidR="00EA1AA5" w:rsidRDefault="00EA1AA5" w:rsidP="00381F67">
      <w:pPr>
        <w:rPr>
          <w:b/>
          <w:bCs/>
          <w:sz w:val="28"/>
          <w:szCs w:val="28"/>
        </w:rPr>
      </w:pPr>
    </w:p>
    <w:p w14:paraId="46A762ED" w14:textId="4A1576C1" w:rsidR="00EA1AA5" w:rsidRDefault="00EA1AA5" w:rsidP="00381F67">
      <w:pPr>
        <w:rPr>
          <w:b/>
          <w:bCs/>
          <w:sz w:val="28"/>
          <w:szCs w:val="28"/>
        </w:rPr>
      </w:pPr>
      <w:r w:rsidRPr="00964A37">
        <w:rPr>
          <w:noProof/>
        </w:rPr>
        <w:drawing>
          <wp:inline distT="0" distB="0" distL="0" distR="0" wp14:anchorId="3479B51D" wp14:editId="227FEA94">
            <wp:extent cx="5926455" cy="24117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6455" cy="2411730"/>
                    </a:xfrm>
                    <a:prstGeom prst="rect">
                      <a:avLst/>
                    </a:prstGeom>
                    <a:noFill/>
                    <a:ln>
                      <a:noFill/>
                    </a:ln>
                  </pic:spPr>
                </pic:pic>
              </a:graphicData>
            </a:graphic>
          </wp:inline>
        </w:drawing>
      </w:r>
    </w:p>
    <w:p w14:paraId="2340A383" w14:textId="77777777" w:rsidR="00EA1AA5" w:rsidRDefault="00EA1AA5" w:rsidP="00381F67">
      <w:pPr>
        <w:rPr>
          <w:b/>
          <w:bCs/>
          <w:sz w:val="28"/>
          <w:szCs w:val="28"/>
        </w:rPr>
      </w:pPr>
    </w:p>
    <w:p w14:paraId="531CE62D" w14:textId="77777777" w:rsidR="00EA1AA5" w:rsidRDefault="00EA1AA5" w:rsidP="00381F67">
      <w:pPr>
        <w:rPr>
          <w:b/>
          <w:bCs/>
          <w:sz w:val="28"/>
          <w:szCs w:val="28"/>
        </w:rPr>
      </w:pPr>
    </w:p>
    <w:p w14:paraId="472CA6B5" w14:textId="6C196ABA" w:rsidR="00EA1AA5" w:rsidRDefault="00EA1AA5" w:rsidP="00381F67">
      <w:pPr>
        <w:rPr>
          <w:b/>
          <w:bCs/>
          <w:sz w:val="28"/>
          <w:szCs w:val="28"/>
        </w:rPr>
      </w:pPr>
      <w:r w:rsidRPr="00025E39">
        <w:rPr>
          <w:noProof/>
        </w:rPr>
        <w:drawing>
          <wp:inline distT="0" distB="0" distL="0" distR="0" wp14:anchorId="262042E7" wp14:editId="01B3364E">
            <wp:extent cx="5926455" cy="2882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455" cy="2882900"/>
                    </a:xfrm>
                    <a:prstGeom prst="rect">
                      <a:avLst/>
                    </a:prstGeom>
                    <a:noFill/>
                    <a:ln>
                      <a:noFill/>
                    </a:ln>
                  </pic:spPr>
                </pic:pic>
              </a:graphicData>
            </a:graphic>
          </wp:inline>
        </w:drawing>
      </w:r>
    </w:p>
    <w:p w14:paraId="1ABFB4F2" w14:textId="77777777" w:rsidR="00EA1AA5" w:rsidRDefault="00EA1AA5" w:rsidP="00381F67">
      <w:pPr>
        <w:rPr>
          <w:b/>
          <w:bCs/>
          <w:sz w:val="28"/>
          <w:szCs w:val="28"/>
        </w:rPr>
      </w:pPr>
    </w:p>
    <w:p w14:paraId="7B72527E" w14:textId="2056F65A" w:rsidR="00EA1AA5" w:rsidRDefault="00EA1AA5" w:rsidP="00381F67">
      <w:pPr>
        <w:rPr>
          <w:b/>
          <w:bCs/>
          <w:sz w:val="28"/>
          <w:szCs w:val="28"/>
        </w:rPr>
      </w:pPr>
    </w:p>
    <w:p w14:paraId="0BD08AA6" w14:textId="77777777" w:rsidR="00EA1AA5" w:rsidRDefault="00EA1AA5" w:rsidP="00381F67">
      <w:pPr>
        <w:rPr>
          <w:b/>
          <w:bCs/>
          <w:sz w:val="28"/>
          <w:szCs w:val="28"/>
        </w:rPr>
      </w:pPr>
    </w:p>
    <w:p w14:paraId="46F1FF2E" w14:textId="77777777" w:rsidR="00F227B6" w:rsidRDefault="00F227B6" w:rsidP="00381F67">
      <w:pPr>
        <w:rPr>
          <w:b/>
          <w:bCs/>
          <w:sz w:val="24"/>
          <w:szCs w:val="24"/>
        </w:rPr>
      </w:pPr>
    </w:p>
    <w:p w14:paraId="7E479589" w14:textId="77777777" w:rsidR="00F227B6" w:rsidRDefault="00F227B6" w:rsidP="00381F67">
      <w:pPr>
        <w:rPr>
          <w:b/>
          <w:bCs/>
          <w:sz w:val="24"/>
          <w:szCs w:val="24"/>
        </w:rPr>
      </w:pPr>
    </w:p>
    <w:p w14:paraId="1A4EADD4" w14:textId="77777777" w:rsidR="00F227B6" w:rsidRDefault="00F227B6" w:rsidP="00381F67">
      <w:pPr>
        <w:rPr>
          <w:b/>
          <w:bCs/>
          <w:sz w:val="24"/>
          <w:szCs w:val="24"/>
        </w:rPr>
      </w:pPr>
    </w:p>
    <w:p w14:paraId="29EA3B41" w14:textId="77777777" w:rsidR="00F227B6" w:rsidRPr="00426497" w:rsidRDefault="00F227B6" w:rsidP="00F227B6">
      <w:pPr>
        <w:rPr>
          <w:b/>
          <w:bCs/>
          <w:sz w:val="28"/>
          <w:szCs w:val="28"/>
        </w:rPr>
      </w:pPr>
      <w:r w:rsidRPr="00426497">
        <w:rPr>
          <w:b/>
          <w:bCs/>
          <w:sz w:val="28"/>
          <w:szCs w:val="28"/>
        </w:rPr>
        <w:t>Bijlage 2</w:t>
      </w:r>
      <w:r w:rsidRPr="00426497">
        <w:rPr>
          <w:b/>
          <w:bCs/>
          <w:sz w:val="28"/>
          <w:szCs w:val="28"/>
        </w:rPr>
        <w:tab/>
        <w:t>De intensieve veehouderij kost Nederland meer dan het opbrengt</w:t>
      </w:r>
    </w:p>
    <w:p w14:paraId="034F79F3" w14:textId="340C0BB9" w:rsidR="00850112" w:rsidRPr="00850112" w:rsidRDefault="00B75B8D" w:rsidP="00381F67">
      <w:pPr>
        <w:rPr>
          <w:b/>
          <w:bCs/>
          <w:sz w:val="24"/>
          <w:szCs w:val="24"/>
        </w:rPr>
      </w:pPr>
      <w:r w:rsidRPr="00B75B8D">
        <w:rPr>
          <w:b/>
          <w:bCs/>
          <w:sz w:val="24"/>
          <w:szCs w:val="24"/>
        </w:rPr>
        <w:t>De intensieve veehouderij in Nederland kost meer dan het opbrengt</w:t>
      </w:r>
      <w:r>
        <w:rPr>
          <w:b/>
          <w:bCs/>
          <w:sz w:val="24"/>
          <w:szCs w:val="24"/>
        </w:rPr>
        <w:t xml:space="preserve">; </w:t>
      </w:r>
      <w:r w:rsidR="00850112" w:rsidRPr="00850112">
        <w:rPr>
          <w:b/>
          <w:bCs/>
          <w:sz w:val="24"/>
          <w:szCs w:val="24"/>
        </w:rPr>
        <w:t xml:space="preserve">Niet verrekende milieukosten als percentage van de toegevoegde waarde van verschillende sectoren in Nederland </w:t>
      </w:r>
    </w:p>
    <w:p w14:paraId="3B6E7C8C" w14:textId="6A212AA5" w:rsidR="00850112" w:rsidRDefault="00850112" w:rsidP="00381F67">
      <w:r>
        <w:rPr>
          <w:noProof/>
        </w:rPr>
        <w:drawing>
          <wp:inline distT="0" distB="0" distL="0" distR="0" wp14:anchorId="40376945" wp14:editId="2E2EA93E">
            <wp:extent cx="4826442" cy="31292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8556" cy="3163031"/>
                    </a:xfrm>
                    <a:prstGeom prst="rect">
                      <a:avLst/>
                    </a:prstGeom>
                    <a:noFill/>
                  </pic:spPr>
                </pic:pic>
              </a:graphicData>
            </a:graphic>
          </wp:inline>
        </w:drawing>
      </w:r>
    </w:p>
    <w:p w14:paraId="70F5F8C9" w14:textId="0CEFAA10" w:rsidR="00F227B6" w:rsidRDefault="00F227B6" w:rsidP="00381F67">
      <w:r>
        <w:t>Bron: Het SCHOON 2.0 model - leeswijzer</w:t>
      </w:r>
    </w:p>
    <w:p w14:paraId="0BC51AD9" w14:textId="7953CBF4" w:rsidR="00850112" w:rsidRDefault="00850112" w:rsidP="00850112">
      <w:r w:rsidRPr="00850112">
        <w:rPr>
          <w:b/>
          <w:bCs/>
        </w:rPr>
        <w:t>Leeswijzer</w:t>
      </w:r>
      <w:r>
        <w:t>: de maatschappelijke schade (externe kosten in MKBA termen) in Nederland door luchtvervuiling komt gemiddeld neer op 5% van de Toegevoegde waarde die we in Nederland uitdrukken als het Bruto Binnenlands Product (BPP). Voor de Veehouderij is di</w:t>
      </w:r>
      <w:r w:rsidR="00B75B8D">
        <w:t>t 41% (zie tabel 1). V</w:t>
      </w:r>
      <w:r>
        <w:t>oor de intensieve rundveeveehouderij is dit &gt; 80%. De implicatie hiervan is dat Nederland welvarende zal worden als we ophouden met de intensieve veehouderij. De exportopbrengsten van vlees en zuivel (80% van de productie) wegen niet op tegen de maatschappelijke schade</w:t>
      </w:r>
      <w:r w:rsidR="00B75B8D">
        <w:t xml:space="preserve">. </w:t>
      </w:r>
    </w:p>
    <w:p w14:paraId="22497316" w14:textId="4008408A" w:rsidR="00CD3044" w:rsidRDefault="00CD3044">
      <w:r>
        <w:br w:type="page"/>
      </w:r>
    </w:p>
    <w:p w14:paraId="7CB95799" w14:textId="323B1C36" w:rsidR="00211F8D" w:rsidRDefault="00211F8D" w:rsidP="00381F67"/>
    <w:p w14:paraId="61A90668" w14:textId="77777777" w:rsidR="00426497" w:rsidRPr="00426497" w:rsidRDefault="00426497" w:rsidP="00426497">
      <w:pPr>
        <w:rPr>
          <w:b/>
          <w:bCs/>
          <w:sz w:val="28"/>
          <w:szCs w:val="28"/>
        </w:rPr>
      </w:pPr>
      <w:r w:rsidRPr="00426497">
        <w:rPr>
          <w:b/>
          <w:bCs/>
          <w:sz w:val="28"/>
          <w:szCs w:val="28"/>
        </w:rPr>
        <w:t>Bijlage 3</w:t>
      </w:r>
      <w:r w:rsidRPr="00426497">
        <w:rPr>
          <w:b/>
          <w:bCs/>
          <w:sz w:val="28"/>
          <w:szCs w:val="28"/>
        </w:rPr>
        <w:tab/>
        <w:t>Melkaanvoer en zuivelproductie grafiekje</w:t>
      </w:r>
    </w:p>
    <w:p w14:paraId="4E73C1A1" w14:textId="50A055B1" w:rsidR="008D7836" w:rsidRPr="007A2648" w:rsidRDefault="008D7836" w:rsidP="008D7836">
      <w:pPr>
        <w:rPr>
          <w:rStyle w:val="markedcontent"/>
          <w:rFonts w:ascii="Arial" w:hAnsi="Arial" w:cs="Arial"/>
          <w:sz w:val="20"/>
          <w:szCs w:val="20"/>
        </w:rPr>
      </w:pPr>
      <w:r w:rsidRPr="007A2648">
        <w:rPr>
          <w:rStyle w:val="markedcontent"/>
          <w:rFonts w:ascii="Arial" w:hAnsi="Arial" w:cs="Arial"/>
          <w:sz w:val="20"/>
          <w:szCs w:val="20"/>
        </w:rPr>
        <w:t>De afschaffing van het quotum versnelt de schaalvergroting in de melkveehouderij.</w:t>
      </w:r>
      <w:r w:rsidR="00426497">
        <w:rPr>
          <w:rStyle w:val="markedcontent"/>
          <w:rFonts w:ascii="Arial" w:hAnsi="Arial" w:cs="Arial"/>
          <w:sz w:val="20"/>
          <w:szCs w:val="20"/>
        </w:rPr>
        <w:t xml:space="preserve"> </w:t>
      </w:r>
      <w:r w:rsidRPr="007A2648">
        <w:rPr>
          <w:rStyle w:val="markedcontent"/>
          <w:rFonts w:ascii="Arial" w:hAnsi="Arial" w:cs="Arial"/>
          <w:sz w:val="20"/>
          <w:szCs w:val="20"/>
        </w:rPr>
        <w:t>De gemiddelde bedrijfsgrootte nam sinds 2007 toe van 68 naar 86 melkkoeien in</w:t>
      </w:r>
      <w:r w:rsidR="00426497">
        <w:rPr>
          <w:rStyle w:val="markedcontent"/>
          <w:rFonts w:ascii="Arial" w:hAnsi="Arial" w:cs="Arial"/>
          <w:sz w:val="20"/>
          <w:szCs w:val="20"/>
        </w:rPr>
        <w:t xml:space="preserve"> </w:t>
      </w:r>
      <w:r w:rsidRPr="007A2648">
        <w:rPr>
          <w:rStyle w:val="markedcontent"/>
          <w:rFonts w:ascii="Arial" w:hAnsi="Arial" w:cs="Arial"/>
          <w:sz w:val="20"/>
          <w:szCs w:val="20"/>
        </w:rPr>
        <w:t>2014. Het aantal bedrijven met meer dan 250 melkkoeien verviervoudigde in de afgelopen 10 jaar. In Zuid</w:t>
      </w:r>
      <w:r w:rsidR="00846A32">
        <w:rPr>
          <w:rStyle w:val="markedcontent"/>
          <w:rFonts w:ascii="Arial" w:hAnsi="Arial" w:cs="Arial"/>
          <w:sz w:val="20"/>
          <w:szCs w:val="20"/>
        </w:rPr>
        <w:t>-</w:t>
      </w:r>
      <w:r w:rsidRPr="007A2648">
        <w:rPr>
          <w:rStyle w:val="markedcontent"/>
          <w:rFonts w:ascii="Arial" w:hAnsi="Arial" w:cs="Arial"/>
          <w:sz w:val="20"/>
          <w:szCs w:val="20"/>
        </w:rPr>
        <w:t>Nederland was de gemiddelde groei van de melkveestapel</w:t>
      </w:r>
      <w:r w:rsidR="00426497">
        <w:rPr>
          <w:rStyle w:val="markedcontent"/>
          <w:rFonts w:ascii="Arial" w:hAnsi="Arial" w:cs="Arial"/>
          <w:sz w:val="20"/>
          <w:szCs w:val="20"/>
        </w:rPr>
        <w:t xml:space="preserve"> </w:t>
      </w:r>
      <w:r w:rsidRPr="007A2648">
        <w:rPr>
          <w:rStyle w:val="markedcontent"/>
          <w:rFonts w:ascii="Arial" w:hAnsi="Arial" w:cs="Arial"/>
          <w:sz w:val="20"/>
          <w:szCs w:val="20"/>
        </w:rPr>
        <w:t>per bedrijf tussen 2000 en 2007, dus voor de aankondiging van de afschaffing van</w:t>
      </w:r>
      <w:r w:rsidR="00426497">
        <w:rPr>
          <w:rStyle w:val="markedcontent"/>
          <w:rFonts w:ascii="Arial" w:hAnsi="Arial" w:cs="Arial"/>
          <w:sz w:val="20"/>
          <w:szCs w:val="20"/>
        </w:rPr>
        <w:t xml:space="preserve"> </w:t>
      </w:r>
      <w:r w:rsidRPr="007A2648">
        <w:rPr>
          <w:rStyle w:val="markedcontent"/>
          <w:rFonts w:ascii="Arial" w:hAnsi="Arial" w:cs="Arial"/>
          <w:sz w:val="20"/>
          <w:szCs w:val="20"/>
        </w:rPr>
        <w:t>het quotum, 1,5 melkkoe per jaar; en nam toe naar 2,9 melkkoe per jaar in de peri-</w:t>
      </w:r>
      <w:r w:rsidRPr="007A2648">
        <w:rPr>
          <w:sz w:val="20"/>
          <w:szCs w:val="20"/>
        </w:rPr>
        <w:br/>
      </w:r>
      <w:r w:rsidRPr="007A2648">
        <w:rPr>
          <w:rStyle w:val="markedcontent"/>
          <w:rFonts w:ascii="Arial" w:hAnsi="Arial" w:cs="Arial"/>
          <w:sz w:val="20"/>
          <w:szCs w:val="20"/>
        </w:rPr>
        <w:t>ode 2008-2014.</w:t>
      </w:r>
    </w:p>
    <w:p w14:paraId="6B38277F" w14:textId="09B11DB0" w:rsidR="008D7836" w:rsidRDefault="00000000" w:rsidP="00F40266">
      <w:hyperlink r:id="rId16" w:history="1">
        <w:r w:rsidR="002B63F5" w:rsidRPr="00BD54E9">
          <w:rPr>
            <w:rStyle w:val="Hyperlink"/>
          </w:rPr>
          <w:t>https://www.emissieregistratie.nl/data/overzichtstabellen-lucht/luchtverontreinigende-emissies</w:t>
        </w:r>
      </w:hyperlink>
    </w:p>
    <w:p w14:paraId="51308702" w14:textId="3F404890" w:rsidR="001136DD" w:rsidRDefault="001136DD" w:rsidP="00F40266">
      <w:r w:rsidRPr="001136DD">
        <w:rPr>
          <w:noProof/>
        </w:rPr>
        <w:drawing>
          <wp:inline distT="0" distB="0" distL="0" distR="0" wp14:anchorId="202CA298" wp14:editId="21D31CAA">
            <wp:extent cx="5731510" cy="3564890"/>
            <wp:effectExtent l="0" t="0" r="254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7"/>
                    <a:stretch>
                      <a:fillRect/>
                    </a:stretch>
                  </pic:blipFill>
                  <pic:spPr>
                    <a:xfrm>
                      <a:off x="0" y="0"/>
                      <a:ext cx="5731510" cy="3564890"/>
                    </a:xfrm>
                    <a:prstGeom prst="rect">
                      <a:avLst/>
                    </a:prstGeom>
                  </pic:spPr>
                </pic:pic>
              </a:graphicData>
            </a:graphic>
          </wp:inline>
        </w:drawing>
      </w:r>
    </w:p>
    <w:p w14:paraId="35184D0C" w14:textId="51FB0784" w:rsidR="00A52C90" w:rsidRDefault="007A2648" w:rsidP="00F40266">
      <w:proofErr w:type="gramStart"/>
      <w:r>
        <w:t>ht</w:t>
      </w:r>
      <w:r w:rsidR="00A52C90" w:rsidRPr="00A52C90">
        <w:t>tps://opendata.cbs.nl/statline/#/CBS/nl/dataset/84952NED/table?ts=1679483470480</w:t>
      </w:r>
      <w:proofErr w:type="gramEnd"/>
    </w:p>
    <w:p w14:paraId="2E0F8F30" w14:textId="19848B96" w:rsidR="00A52C90" w:rsidRDefault="00A52C90" w:rsidP="00F40266"/>
    <w:p w14:paraId="7A29494B" w14:textId="77777777" w:rsidR="000B76E2" w:rsidRDefault="000B76E2" w:rsidP="00F40266"/>
    <w:p w14:paraId="6A0CDEAF" w14:textId="77777777" w:rsidR="000B76E2" w:rsidRDefault="000B76E2" w:rsidP="00F40266"/>
    <w:p w14:paraId="2BADC2D8" w14:textId="6F5C10C3" w:rsidR="000B76E2" w:rsidRDefault="00190DA4" w:rsidP="00F40266">
      <w:r>
        <w:t xml:space="preserve">Einde document </w:t>
      </w:r>
    </w:p>
    <w:p w14:paraId="65F1E78F" w14:textId="77777777" w:rsidR="006161FE" w:rsidRDefault="006161FE" w:rsidP="00F40266"/>
    <w:p w14:paraId="0C2BB852" w14:textId="77777777" w:rsidR="006161FE" w:rsidRDefault="006161FE" w:rsidP="00F40266"/>
    <w:p w14:paraId="5B1F960F" w14:textId="77777777" w:rsidR="001D667F" w:rsidRDefault="001D667F">
      <w:r>
        <w:br w:type="page"/>
      </w:r>
    </w:p>
    <w:sectPr w:rsidR="001D667F" w:rsidSect="00961925">
      <w:headerReference w:type="default" r:id="rId18"/>
      <w:footerReference w:type="default" r:id="rId19"/>
      <w:pgSz w:w="11906" w:h="16838"/>
      <w:pgMar w:top="2127" w:right="1133"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2420" w14:textId="77777777" w:rsidR="00996A81" w:rsidRDefault="00996A81" w:rsidP="00F40266">
      <w:pPr>
        <w:spacing w:after="0" w:line="240" w:lineRule="auto"/>
      </w:pPr>
      <w:r>
        <w:separator/>
      </w:r>
    </w:p>
  </w:endnote>
  <w:endnote w:type="continuationSeparator" w:id="0">
    <w:p w14:paraId="37B9DC1C" w14:textId="77777777" w:rsidR="00996A81" w:rsidRDefault="00996A81" w:rsidP="00F4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618720"/>
      <w:docPartObj>
        <w:docPartGallery w:val="Page Numbers (Bottom of Page)"/>
        <w:docPartUnique/>
      </w:docPartObj>
    </w:sdtPr>
    <w:sdtEndPr>
      <w:rPr>
        <w:noProof/>
      </w:rPr>
    </w:sdtEndPr>
    <w:sdtContent>
      <w:p w14:paraId="332C07E3" w14:textId="586D6991" w:rsidR="00D96FD3" w:rsidRDefault="00D96F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CB4025" w14:textId="77777777" w:rsidR="00D96FD3" w:rsidRDefault="00D9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235F" w14:textId="77777777" w:rsidR="00996A81" w:rsidRDefault="00996A81" w:rsidP="00F40266">
      <w:pPr>
        <w:spacing w:after="0" w:line="240" w:lineRule="auto"/>
      </w:pPr>
      <w:r>
        <w:separator/>
      </w:r>
    </w:p>
  </w:footnote>
  <w:footnote w:type="continuationSeparator" w:id="0">
    <w:p w14:paraId="2FBBA0EB" w14:textId="77777777" w:rsidR="00996A81" w:rsidRDefault="00996A81" w:rsidP="00F40266">
      <w:pPr>
        <w:spacing w:after="0" w:line="240" w:lineRule="auto"/>
      </w:pPr>
      <w:r>
        <w:continuationSeparator/>
      </w:r>
    </w:p>
  </w:footnote>
  <w:footnote w:id="1">
    <w:p w14:paraId="0A6FCEC7" w14:textId="135866F3" w:rsidR="008974F5" w:rsidRPr="008974F5" w:rsidRDefault="008974F5">
      <w:pPr>
        <w:pStyle w:val="FootnoteText"/>
      </w:pPr>
      <w:r>
        <w:rPr>
          <w:rStyle w:val="FootnoteReference"/>
        </w:rPr>
        <w:footnoteRef/>
      </w:r>
      <w:r>
        <w:t xml:space="preserve"> </w:t>
      </w:r>
      <w:r>
        <w:rPr>
          <w:lang w:val="en-GB"/>
        </w:rPr>
        <w:tab/>
      </w:r>
      <w:r w:rsidRPr="008974F5">
        <w:t xml:space="preserve">De berekening van deze bedragen staat onderaan </w:t>
      </w:r>
      <w:r>
        <w:t xml:space="preserve">Tabel 1. </w:t>
      </w:r>
      <w:r w:rsidRPr="008974F5">
        <w:t xml:space="preserve">Er zijn weinig studies over de gezondheidsschade door de veehouderij. Een WUR/RIVM studie uit 2016 kwam op </w:t>
      </w:r>
      <w:r w:rsidRPr="008974F5">
        <w:rPr>
          <w:rFonts w:cstheme="minorHAnsi"/>
        </w:rPr>
        <w:t>€</w:t>
      </w:r>
      <w:r w:rsidRPr="008974F5">
        <w:t xml:space="preserve"> 1,2 miljard. Een paar weken geleden kwam een nieuwe studie op </w:t>
      </w:r>
      <w:r w:rsidRPr="008974F5">
        <w:rPr>
          <w:rFonts w:cstheme="minorHAnsi"/>
        </w:rPr>
        <w:t>€</w:t>
      </w:r>
      <w:r w:rsidRPr="008974F5">
        <w:t xml:space="preserve"> 0,96 miljard. Deze orde van grote komt overeen met de uitkomsten van het SCHOON model. </w:t>
      </w:r>
    </w:p>
  </w:footnote>
  <w:footnote w:id="2">
    <w:p w14:paraId="5BEB7957" w14:textId="77777777" w:rsidR="00982A33" w:rsidRPr="00A510EF" w:rsidRDefault="00982A33" w:rsidP="00982A33">
      <w:pPr>
        <w:pStyle w:val="NormalWeb"/>
        <w:rPr>
          <w:sz w:val="20"/>
          <w:szCs w:val="20"/>
        </w:rPr>
      </w:pPr>
      <w:r>
        <w:rPr>
          <w:rStyle w:val="FootnoteReference"/>
        </w:rPr>
        <w:footnoteRef/>
      </w:r>
      <w:r>
        <w:rPr>
          <w:lang w:val="en-GB"/>
        </w:rPr>
        <w:t xml:space="preserve">  </w:t>
      </w:r>
      <w:proofErr w:type="spellStart"/>
      <w:r w:rsidRPr="00463102">
        <w:rPr>
          <w:sz w:val="20"/>
          <w:szCs w:val="20"/>
          <w:lang w:val="nl-NL"/>
        </w:rPr>
        <w:t>H.van</w:t>
      </w:r>
      <w:proofErr w:type="spellEnd"/>
      <w:r w:rsidRPr="00463102">
        <w:rPr>
          <w:sz w:val="20"/>
          <w:szCs w:val="20"/>
          <w:lang w:val="nl-NL"/>
        </w:rPr>
        <w:t xml:space="preserve"> Grinsven. Afschaffing melkquotum maakt mestafzet complexer en vergroot risico’s voor natuur, PBL publicatienr.1757, 2015 ( </w:t>
      </w:r>
      <w:hyperlink r:id="rId1" w:history="1">
        <w:r w:rsidRPr="00463102">
          <w:rPr>
            <w:rStyle w:val="Hyperlink"/>
            <w:sz w:val="20"/>
            <w:szCs w:val="20"/>
            <w:lang w:val="nl-NL"/>
          </w:rPr>
          <w:t>https://www.pbl.nl/publicaties/quick-scan-gevolgen-van-afschaffing-melkquotum</w:t>
        </w:r>
      </w:hyperlink>
      <w:r>
        <w:rPr>
          <w:sz w:val="20"/>
          <w:szCs w:val="20"/>
          <w:lang w:val="en-GB"/>
        </w:rPr>
        <w:t>).</w:t>
      </w:r>
      <w:r w:rsidRPr="00A510EF">
        <w:rPr>
          <w:sz w:val="20"/>
          <w:szCs w:val="20"/>
        </w:rPr>
        <w:t xml:space="preserve"> </w:t>
      </w:r>
    </w:p>
    <w:p w14:paraId="739AE4F4" w14:textId="77777777" w:rsidR="00982A33" w:rsidRPr="00FF6042" w:rsidRDefault="00982A33" w:rsidP="00982A33">
      <w:pPr>
        <w:pStyle w:val="FootnoteText"/>
        <w:rPr>
          <w:lang w:val="en-GB"/>
        </w:rPr>
      </w:pPr>
    </w:p>
  </w:footnote>
  <w:footnote w:id="3">
    <w:p w14:paraId="184E697E" w14:textId="4477FE02" w:rsidR="00982A33" w:rsidRPr="00426497" w:rsidRDefault="00982A33" w:rsidP="00982A33">
      <w:pPr>
        <w:pStyle w:val="NormalWeb"/>
        <w:rPr>
          <w:lang w:val="nl-NL"/>
        </w:rPr>
      </w:pPr>
      <w:r w:rsidRPr="00426497">
        <w:rPr>
          <w:rStyle w:val="FootnoteReference"/>
          <w:lang w:val="nl-NL"/>
        </w:rPr>
        <w:footnoteRef/>
      </w:r>
      <w:r w:rsidRPr="00426497">
        <w:rPr>
          <w:lang w:val="nl-NL"/>
        </w:rPr>
        <w:t xml:space="preserve"> </w:t>
      </w:r>
      <w:r w:rsidRPr="00426497">
        <w:rPr>
          <w:sz w:val="20"/>
          <w:szCs w:val="20"/>
          <w:lang w:val="nl-NL"/>
        </w:rPr>
        <w:t>Zie ook RIVM</w:t>
      </w:r>
      <w:r w:rsidR="00474F3C">
        <w:rPr>
          <w:sz w:val="20"/>
          <w:szCs w:val="20"/>
          <w:lang w:val="nl-NL"/>
        </w:rPr>
        <w:t>-</w:t>
      </w:r>
      <w:r w:rsidRPr="00426497">
        <w:rPr>
          <w:sz w:val="20"/>
          <w:szCs w:val="20"/>
          <w:lang w:val="nl-NL"/>
        </w:rPr>
        <w:t xml:space="preserve">rapportages </w:t>
      </w:r>
      <w:r w:rsidRPr="00426497">
        <w:rPr>
          <w:sz w:val="20"/>
          <w:szCs w:val="20"/>
          <w:lang w:val="nl-NL"/>
        </w:rPr>
        <w:t>over de watervervuiling kosten van de veehouderij sector</w:t>
      </w:r>
      <w:r w:rsidRPr="00426497">
        <w:rPr>
          <w:lang w:val="nl-NL"/>
        </w:rPr>
        <w:t xml:space="preserve"> </w:t>
      </w:r>
    </w:p>
    <w:p w14:paraId="1331BC33" w14:textId="77777777" w:rsidR="00982A33" w:rsidRPr="00751003" w:rsidRDefault="00982A33" w:rsidP="00982A33">
      <w:pPr>
        <w:pStyle w:val="FootnoteText"/>
        <w:rPr>
          <w:lang w:val="en-GB"/>
        </w:rPr>
      </w:pPr>
    </w:p>
  </w:footnote>
  <w:footnote w:id="4">
    <w:p w14:paraId="02627AA8" w14:textId="5DA065CB" w:rsidR="00261320" w:rsidRPr="00474F3C" w:rsidRDefault="00261320">
      <w:pPr>
        <w:pStyle w:val="FootnoteText"/>
      </w:pPr>
      <w:r>
        <w:rPr>
          <w:rStyle w:val="FootnoteReference"/>
        </w:rPr>
        <w:footnoteRef/>
      </w:r>
      <w:r>
        <w:t xml:space="preserve"> </w:t>
      </w:r>
      <w:r>
        <w:rPr>
          <w:lang w:val="en-GB"/>
        </w:rPr>
        <w:t xml:space="preserve"> </w:t>
      </w:r>
      <w:r w:rsidRPr="00075F25">
        <w:t>Voor de meeste luchtvervuilende stoffen die in Tabel 2 staan</w:t>
      </w:r>
      <w:r w:rsidR="00C632B2">
        <w:t>,</w:t>
      </w:r>
      <w:r w:rsidRPr="00075F25">
        <w:t xml:space="preserve"> zijn de emissies tussen 2008 en </w:t>
      </w:r>
      <w:r w:rsidR="00474F3C" w:rsidRPr="00474F3C">
        <w:t>2022 in</w:t>
      </w:r>
      <w:r w:rsidRPr="00075F25">
        <w:t xml:space="preserve"> Nederland iets gedaald maar dat geldt niet voor de belangrijkste stikstof</w:t>
      </w:r>
      <w:r w:rsidR="00C632B2">
        <w:t>-</w:t>
      </w:r>
      <w:r w:rsidRPr="00075F25">
        <w:t xml:space="preserve"> en broeikasgas</w:t>
      </w:r>
      <w:r w:rsidR="00C632B2">
        <w:t>sen</w:t>
      </w:r>
      <w:r w:rsidRPr="00075F25">
        <w:t xml:space="preserve"> (Zie CBS-statline, 2023) in de veehouderij sector. In de </w:t>
      </w:r>
      <w:r w:rsidRPr="00075F25">
        <w:rPr>
          <w:rFonts w:cstheme="minorHAnsi"/>
        </w:rPr>
        <w:t>€</w:t>
      </w:r>
      <w:r w:rsidRPr="00075F25">
        <w:t xml:space="preserve"> 100 miljard </w:t>
      </w:r>
      <w:r w:rsidR="00474F3C" w:rsidRPr="00474F3C">
        <w:t>milieuschade</w:t>
      </w:r>
      <w:r w:rsidRPr="00075F25">
        <w:t xml:space="preserve"> berekening, is de milieuschadewaarde van de uitstoot in 2022 als het gemiddelde genomen voor de afgelopen 15 jaar. Dat </w:t>
      </w:r>
      <w:r w:rsidR="00482F74" w:rsidRPr="00075F25">
        <w:t xml:space="preserve">is </w:t>
      </w:r>
      <w:r w:rsidRPr="00075F25">
        <w:t>een</w:t>
      </w:r>
      <w:r w:rsidR="00C632B2">
        <w:t xml:space="preserve"> </w:t>
      </w:r>
      <w:r w:rsidRPr="00075F25">
        <w:t>conservatieve inschatting</w:t>
      </w:r>
      <w:r w:rsidR="00482F74" w:rsidRPr="00075F25">
        <w:t>. Het weerspiegel</w:t>
      </w:r>
      <w:r w:rsidR="00C632B2">
        <w:t>t</w:t>
      </w:r>
      <w:r w:rsidR="00482F74" w:rsidRPr="00075F25">
        <w:t xml:space="preserve"> de stijgende prijs van Broeikasgassen op de markt, maar nog niet de stijgende prijs voor </w:t>
      </w:r>
      <w:r w:rsidR="00C632B2">
        <w:t>s</w:t>
      </w:r>
      <w:r w:rsidR="00482F74" w:rsidRPr="00075F25">
        <w:t xml:space="preserve">tikstof rechten. </w:t>
      </w:r>
    </w:p>
  </w:footnote>
  <w:footnote w:id="5">
    <w:p w14:paraId="15362CF9" w14:textId="6D6E982D" w:rsidR="0064213E" w:rsidRPr="007F7642" w:rsidRDefault="0064213E" w:rsidP="0064213E">
      <w:pPr>
        <w:pStyle w:val="FootnoteText"/>
      </w:pPr>
      <w:r>
        <w:rPr>
          <w:rStyle w:val="FootnoteReference"/>
        </w:rPr>
        <w:footnoteRef/>
      </w:r>
      <w:r>
        <w:t xml:space="preserve"> </w:t>
      </w:r>
      <w:r w:rsidRPr="007F7642">
        <w:t>AFM</w:t>
      </w:r>
      <w:r w:rsidR="007F7642">
        <w:t>-</w:t>
      </w:r>
      <w:r w:rsidRPr="007F7642">
        <w:t>rapportages uit 2015 en 20</w:t>
      </w:r>
      <w:r w:rsidR="00685903" w:rsidRPr="007F7642">
        <w:t>19, en CBS -statline</w:t>
      </w:r>
      <w:r w:rsidR="007F7642" w:rsidRPr="007F7642">
        <w:t>,</w:t>
      </w:r>
      <w:r w:rsidR="00685903" w:rsidRPr="007F7642">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ED44" w14:textId="06F10833" w:rsidR="00F40266" w:rsidRDefault="00F40266" w:rsidP="00F40266">
    <w:pPr>
      <w:pStyle w:val="Header"/>
      <w:jc w:val="right"/>
    </w:pPr>
    <w:r w:rsidRPr="00F40266">
      <w:rPr>
        <w:noProof/>
      </w:rPr>
      <w:drawing>
        <wp:inline distT="0" distB="0" distL="0" distR="0" wp14:anchorId="25D4D326" wp14:editId="4B79FD5F">
          <wp:extent cx="1533525" cy="947177"/>
          <wp:effectExtent l="0" t="0" r="0" b="5715"/>
          <wp:docPr id="35" name="Picture 35" descr="A picture containing text, sky, outdoo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outdoor, nature&#10;&#10;Description automatically generated"/>
                  <pic:cNvPicPr/>
                </pic:nvPicPr>
                <pic:blipFill>
                  <a:blip r:embed="rId1"/>
                  <a:stretch>
                    <a:fillRect/>
                  </a:stretch>
                </pic:blipFill>
                <pic:spPr>
                  <a:xfrm>
                    <a:off x="0" y="0"/>
                    <a:ext cx="1545739" cy="954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0108"/>
    <w:multiLevelType w:val="multilevel"/>
    <w:tmpl w:val="7D46583E"/>
    <w:lvl w:ilvl="0">
      <w:start w:val="2"/>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 w15:restartNumberingAfterBreak="0">
    <w:nsid w:val="196734A9"/>
    <w:multiLevelType w:val="hybridMultilevel"/>
    <w:tmpl w:val="C89EF9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BC711C"/>
    <w:multiLevelType w:val="hybridMultilevel"/>
    <w:tmpl w:val="31A860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43F6B"/>
    <w:multiLevelType w:val="hybridMultilevel"/>
    <w:tmpl w:val="DB1A11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FA1657"/>
    <w:multiLevelType w:val="hybridMultilevel"/>
    <w:tmpl w:val="4E885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6F4B18"/>
    <w:multiLevelType w:val="hybridMultilevel"/>
    <w:tmpl w:val="06320F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9E0747"/>
    <w:multiLevelType w:val="multilevel"/>
    <w:tmpl w:val="69902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3374F1"/>
    <w:multiLevelType w:val="multilevel"/>
    <w:tmpl w:val="3BCA0C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AD501B"/>
    <w:multiLevelType w:val="hybridMultilevel"/>
    <w:tmpl w:val="68C6F8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7FF0956"/>
    <w:multiLevelType w:val="hybridMultilevel"/>
    <w:tmpl w:val="B3A2E528"/>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0C06CAA"/>
    <w:multiLevelType w:val="hybridMultilevel"/>
    <w:tmpl w:val="FE6E619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3711491F"/>
    <w:multiLevelType w:val="hybridMultilevel"/>
    <w:tmpl w:val="0422F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13759D"/>
    <w:multiLevelType w:val="hybridMultilevel"/>
    <w:tmpl w:val="9F8433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8F3049"/>
    <w:multiLevelType w:val="hybridMultilevel"/>
    <w:tmpl w:val="3348D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458193D"/>
    <w:multiLevelType w:val="hybridMultilevel"/>
    <w:tmpl w:val="EE46BC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DF87B71"/>
    <w:multiLevelType w:val="hybridMultilevel"/>
    <w:tmpl w:val="541ACB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2478EC"/>
    <w:multiLevelType w:val="hybridMultilevel"/>
    <w:tmpl w:val="F98AD3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F34BE2"/>
    <w:multiLevelType w:val="hybridMultilevel"/>
    <w:tmpl w:val="6F1CDF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BC55FD"/>
    <w:multiLevelType w:val="hybridMultilevel"/>
    <w:tmpl w:val="D26E5B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CD2F61"/>
    <w:multiLevelType w:val="hybridMultilevel"/>
    <w:tmpl w:val="8F4CE78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549B12E1"/>
    <w:multiLevelType w:val="hybridMultilevel"/>
    <w:tmpl w:val="0C2AE4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67C0BAB"/>
    <w:multiLevelType w:val="hybridMultilevel"/>
    <w:tmpl w:val="90A21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357CAA"/>
    <w:multiLevelType w:val="multilevel"/>
    <w:tmpl w:val="C6D8C548"/>
    <w:lvl w:ilvl="0">
      <w:start w:val="2"/>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23" w15:restartNumberingAfterBreak="0">
    <w:nsid w:val="59EE3784"/>
    <w:multiLevelType w:val="hybridMultilevel"/>
    <w:tmpl w:val="0FC092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0EA4A12"/>
    <w:multiLevelType w:val="hybridMultilevel"/>
    <w:tmpl w:val="14F8A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DF137D"/>
    <w:multiLevelType w:val="hybridMultilevel"/>
    <w:tmpl w:val="E27E7A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35E345C"/>
    <w:multiLevelType w:val="hybridMultilevel"/>
    <w:tmpl w:val="F54AB1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B10626"/>
    <w:multiLevelType w:val="hybridMultilevel"/>
    <w:tmpl w:val="14F8AF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107004"/>
    <w:multiLevelType w:val="hybridMultilevel"/>
    <w:tmpl w:val="67244016"/>
    <w:lvl w:ilvl="0" w:tplc="B5588352">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5953380">
    <w:abstractNumId w:val="27"/>
  </w:num>
  <w:num w:numId="2" w16cid:durableId="1968507729">
    <w:abstractNumId w:val="6"/>
  </w:num>
  <w:num w:numId="3" w16cid:durableId="1186209545">
    <w:abstractNumId w:val="1"/>
  </w:num>
  <w:num w:numId="4" w16cid:durableId="306521700">
    <w:abstractNumId w:val="16"/>
  </w:num>
  <w:num w:numId="5" w16cid:durableId="738751985">
    <w:abstractNumId w:val="9"/>
  </w:num>
  <w:num w:numId="6" w16cid:durableId="1103453577">
    <w:abstractNumId w:val="4"/>
  </w:num>
  <w:num w:numId="7" w16cid:durableId="981353956">
    <w:abstractNumId w:val="25"/>
  </w:num>
  <w:num w:numId="8" w16cid:durableId="918253734">
    <w:abstractNumId w:val="26"/>
  </w:num>
  <w:num w:numId="9" w16cid:durableId="1107893338">
    <w:abstractNumId w:val="28"/>
  </w:num>
  <w:num w:numId="10" w16cid:durableId="5207229">
    <w:abstractNumId w:val="19"/>
  </w:num>
  <w:num w:numId="11" w16cid:durableId="1810241093">
    <w:abstractNumId w:val="11"/>
  </w:num>
  <w:num w:numId="12" w16cid:durableId="935286644">
    <w:abstractNumId w:val="12"/>
  </w:num>
  <w:num w:numId="13" w16cid:durableId="2013679218">
    <w:abstractNumId w:val="10"/>
  </w:num>
  <w:num w:numId="14" w16cid:durableId="1552423016">
    <w:abstractNumId w:val="5"/>
  </w:num>
  <w:num w:numId="15" w16cid:durableId="235406209">
    <w:abstractNumId w:val="3"/>
  </w:num>
  <w:num w:numId="16" w16cid:durableId="1244950383">
    <w:abstractNumId w:val="21"/>
  </w:num>
  <w:num w:numId="17" w16cid:durableId="1043599202">
    <w:abstractNumId w:val="20"/>
  </w:num>
  <w:num w:numId="18" w16cid:durableId="1727989762">
    <w:abstractNumId w:val="18"/>
  </w:num>
  <w:num w:numId="19" w16cid:durableId="1759911461">
    <w:abstractNumId w:val="15"/>
  </w:num>
  <w:num w:numId="20" w16cid:durableId="638463913">
    <w:abstractNumId w:val="13"/>
  </w:num>
  <w:num w:numId="21" w16cid:durableId="260143651">
    <w:abstractNumId w:val="7"/>
  </w:num>
  <w:num w:numId="22" w16cid:durableId="1529297633">
    <w:abstractNumId w:val="24"/>
  </w:num>
  <w:num w:numId="23" w16cid:durableId="518273147">
    <w:abstractNumId w:val="23"/>
  </w:num>
  <w:num w:numId="24" w16cid:durableId="308243057">
    <w:abstractNumId w:val="17"/>
  </w:num>
  <w:num w:numId="25" w16cid:durableId="987320952">
    <w:abstractNumId w:val="2"/>
  </w:num>
  <w:num w:numId="26" w16cid:durableId="207450223">
    <w:abstractNumId w:val="8"/>
  </w:num>
  <w:num w:numId="27" w16cid:durableId="1385251138">
    <w:abstractNumId w:val="0"/>
  </w:num>
  <w:num w:numId="28" w16cid:durableId="1839034812">
    <w:abstractNumId w:val="22"/>
  </w:num>
  <w:num w:numId="29" w16cid:durableId="325549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66"/>
    <w:rsid w:val="00003F32"/>
    <w:rsid w:val="00004A8B"/>
    <w:rsid w:val="00010267"/>
    <w:rsid w:val="000170A5"/>
    <w:rsid w:val="00022CD4"/>
    <w:rsid w:val="00025E39"/>
    <w:rsid w:val="0004466B"/>
    <w:rsid w:val="00064660"/>
    <w:rsid w:val="000720EA"/>
    <w:rsid w:val="00075F25"/>
    <w:rsid w:val="00081DB1"/>
    <w:rsid w:val="000A7426"/>
    <w:rsid w:val="000B308A"/>
    <w:rsid w:val="000B76E2"/>
    <w:rsid w:val="000C228D"/>
    <w:rsid w:val="000D51BA"/>
    <w:rsid w:val="000D6EA2"/>
    <w:rsid w:val="000F3BE2"/>
    <w:rsid w:val="001026A9"/>
    <w:rsid w:val="001071B9"/>
    <w:rsid w:val="001071D4"/>
    <w:rsid w:val="001136DD"/>
    <w:rsid w:val="0013407F"/>
    <w:rsid w:val="0014472D"/>
    <w:rsid w:val="00174448"/>
    <w:rsid w:val="00190DA4"/>
    <w:rsid w:val="00191BBE"/>
    <w:rsid w:val="00191C0B"/>
    <w:rsid w:val="001958C2"/>
    <w:rsid w:val="001A063E"/>
    <w:rsid w:val="001B1D7A"/>
    <w:rsid w:val="001C153A"/>
    <w:rsid w:val="001C1567"/>
    <w:rsid w:val="001C2BF4"/>
    <w:rsid w:val="001D667F"/>
    <w:rsid w:val="001D6B02"/>
    <w:rsid w:val="002059E5"/>
    <w:rsid w:val="00211F8D"/>
    <w:rsid w:val="00223E88"/>
    <w:rsid w:val="00231800"/>
    <w:rsid w:val="00243511"/>
    <w:rsid w:val="0024646E"/>
    <w:rsid w:val="00254401"/>
    <w:rsid w:val="00261320"/>
    <w:rsid w:val="002656F9"/>
    <w:rsid w:val="00267270"/>
    <w:rsid w:val="00267851"/>
    <w:rsid w:val="00270691"/>
    <w:rsid w:val="002709D4"/>
    <w:rsid w:val="00276078"/>
    <w:rsid w:val="002811EF"/>
    <w:rsid w:val="002876B8"/>
    <w:rsid w:val="00291793"/>
    <w:rsid w:val="00294896"/>
    <w:rsid w:val="002B63F5"/>
    <w:rsid w:val="002C0B02"/>
    <w:rsid w:val="002D578D"/>
    <w:rsid w:val="002F208D"/>
    <w:rsid w:val="002F4EE9"/>
    <w:rsid w:val="002F5549"/>
    <w:rsid w:val="0030019C"/>
    <w:rsid w:val="00306F06"/>
    <w:rsid w:val="003200F0"/>
    <w:rsid w:val="00326E49"/>
    <w:rsid w:val="003346C3"/>
    <w:rsid w:val="0033799A"/>
    <w:rsid w:val="003448F6"/>
    <w:rsid w:val="003559F4"/>
    <w:rsid w:val="0035734D"/>
    <w:rsid w:val="003577CC"/>
    <w:rsid w:val="00376570"/>
    <w:rsid w:val="00381F67"/>
    <w:rsid w:val="00391A05"/>
    <w:rsid w:val="003A27A2"/>
    <w:rsid w:val="003A3DDA"/>
    <w:rsid w:val="003B12B1"/>
    <w:rsid w:val="003D02D1"/>
    <w:rsid w:val="003D3DAC"/>
    <w:rsid w:val="003D53C6"/>
    <w:rsid w:val="003E152A"/>
    <w:rsid w:val="003F2B4F"/>
    <w:rsid w:val="00412321"/>
    <w:rsid w:val="00420BA8"/>
    <w:rsid w:val="00422692"/>
    <w:rsid w:val="00426497"/>
    <w:rsid w:val="004505D8"/>
    <w:rsid w:val="004509C9"/>
    <w:rsid w:val="00463102"/>
    <w:rsid w:val="00464A4F"/>
    <w:rsid w:val="00474F3C"/>
    <w:rsid w:val="00482F74"/>
    <w:rsid w:val="004A79C9"/>
    <w:rsid w:val="004B6527"/>
    <w:rsid w:val="004C10E5"/>
    <w:rsid w:val="004C4467"/>
    <w:rsid w:val="004D1836"/>
    <w:rsid w:val="004E28E3"/>
    <w:rsid w:val="004F7C7E"/>
    <w:rsid w:val="005006D8"/>
    <w:rsid w:val="00500A9A"/>
    <w:rsid w:val="00517ADF"/>
    <w:rsid w:val="00524483"/>
    <w:rsid w:val="00526757"/>
    <w:rsid w:val="00531A69"/>
    <w:rsid w:val="00536012"/>
    <w:rsid w:val="00591105"/>
    <w:rsid w:val="00592D04"/>
    <w:rsid w:val="005B0D40"/>
    <w:rsid w:val="005B1031"/>
    <w:rsid w:val="005B7135"/>
    <w:rsid w:val="005C0AFB"/>
    <w:rsid w:val="005C54E6"/>
    <w:rsid w:val="006003F2"/>
    <w:rsid w:val="00602F3C"/>
    <w:rsid w:val="0060324A"/>
    <w:rsid w:val="00605ECE"/>
    <w:rsid w:val="006161FE"/>
    <w:rsid w:val="00623671"/>
    <w:rsid w:val="00630101"/>
    <w:rsid w:val="0064105D"/>
    <w:rsid w:val="0064213E"/>
    <w:rsid w:val="00644FFD"/>
    <w:rsid w:val="0066263C"/>
    <w:rsid w:val="00682201"/>
    <w:rsid w:val="00685903"/>
    <w:rsid w:val="006A482D"/>
    <w:rsid w:val="006A64AC"/>
    <w:rsid w:val="006B3C6A"/>
    <w:rsid w:val="006F2002"/>
    <w:rsid w:val="006F50A9"/>
    <w:rsid w:val="00711304"/>
    <w:rsid w:val="0072234C"/>
    <w:rsid w:val="00735C7E"/>
    <w:rsid w:val="00751003"/>
    <w:rsid w:val="00754735"/>
    <w:rsid w:val="0075589A"/>
    <w:rsid w:val="0076640E"/>
    <w:rsid w:val="00766762"/>
    <w:rsid w:val="0077444C"/>
    <w:rsid w:val="00790F61"/>
    <w:rsid w:val="007A2648"/>
    <w:rsid w:val="007B699F"/>
    <w:rsid w:val="007C0788"/>
    <w:rsid w:val="007C71D9"/>
    <w:rsid w:val="007F7642"/>
    <w:rsid w:val="00805448"/>
    <w:rsid w:val="008230D1"/>
    <w:rsid w:val="00832D67"/>
    <w:rsid w:val="0083511C"/>
    <w:rsid w:val="00836277"/>
    <w:rsid w:val="00840A40"/>
    <w:rsid w:val="0084256E"/>
    <w:rsid w:val="00846A32"/>
    <w:rsid w:val="00850112"/>
    <w:rsid w:val="00895FAB"/>
    <w:rsid w:val="008974F5"/>
    <w:rsid w:val="008D0A92"/>
    <w:rsid w:val="008D40CD"/>
    <w:rsid w:val="008D7836"/>
    <w:rsid w:val="008E262F"/>
    <w:rsid w:val="008E7B6C"/>
    <w:rsid w:val="008F0D35"/>
    <w:rsid w:val="008F3267"/>
    <w:rsid w:val="00904A49"/>
    <w:rsid w:val="00917A4F"/>
    <w:rsid w:val="00926603"/>
    <w:rsid w:val="00940C90"/>
    <w:rsid w:val="00944487"/>
    <w:rsid w:val="00950B7B"/>
    <w:rsid w:val="00961925"/>
    <w:rsid w:val="0096387F"/>
    <w:rsid w:val="00964A37"/>
    <w:rsid w:val="00974869"/>
    <w:rsid w:val="00982226"/>
    <w:rsid w:val="00982A33"/>
    <w:rsid w:val="0098537C"/>
    <w:rsid w:val="00996A81"/>
    <w:rsid w:val="009970E2"/>
    <w:rsid w:val="00997D1E"/>
    <w:rsid w:val="009A4BAA"/>
    <w:rsid w:val="009B3513"/>
    <w:rsid w:val="009C7FC7"/>
    <w:rsid w:val="009D66A4"/>
    <w:rsid w:val="009E32A0"/>
    <w:rsid w:val="009F3D09"/>
    <w:rsid w:val="00A14B09"/>
    <w:rsid w:val="00A14DFF"/>
    <w:rsid w:val="00A168DA"/>
    <w:rsid w:val="00A335CE"/>
    <w:rsid w:val="00A35C44"/>
    <w:rsid w:val="00A510EF"/>
    <w:rsid w:val="00A5185A"/>
    <w:rsid w:val="00A51FD3"/>
    <w:rsid w:val="00A52C90"/>
    <w:rsid w:val="00A534A1"/>
    <w:rsid w:val="00A8620F"/>
    <w:rsid w:val="00A921EA"/>
    <w:rsid w:val="00A96B43"/>
    <w:rsid w:val="00AA3AE7"/>
    <w:rsid w:val="00AB3390"/>
    <w:rsid w:val="00AC7C30"/>
    <w:rsid w:val="00AD365A"/>
    <w:rsid w:val="00AE5295"/>
    <w:rsid w:val="00AE5B67"/>
    <w:rsid w:val="00AF5CFD"/>
    <w:rsid w:val="00B064E5"/>
    <w:rsid w:val="00B118D7"/>
    <w:rsid w:val="00B35C53"/>
    <w:rsid w:val="00B42FE2"/>
    <w:rsid w:val="00B50CBF"/>
    <w:rsid w:val="00B51CA9"/>
    <w:rsid w:val="00B75B8D"/>
    <w:rsid w:val="00B81409"/>
    <w:rsid w:val="00B90B3D"/>
    <w:rsid w:val="00B92901"/>
    <w:rsid w:val="00BA0EFF"/>
    <w:rsid w:val="00BA1EF6"/>
    <w:rsid w:val="00BB0536"/>
    <w:rsid w:val="00BB7D7B"/>
    <w:rsid w:val="00BC1F7A"/>
    <w:rsid w:val="00BD0B51"/>
    <w:rsid w:val="00BE2AD1"/>
    <w:rsid w:val="00C06201"/>
    <w:rsid w:val="00C11D27"/>
    <w:rsid w:val="00C12975"/>
    <w:rsid w:val="00C249FD"/>
    <w:rsid w:val="00C27196"/>
    <w:rsid w:val="00C32E32"/>
    <w:rsid w:val="00C37863"/>
    <w:rsid w:val="00C54590"/>
    <w:rsid w:val="00C5466C"/>
    <w:rsid w:val="00C632B2"/>
    <w:rsid w:val="00C757E5"/>
    <w:rsid w:val="00C76E34"/>
    <w:rsid w:val="00C76EFC"/>
    <w:rsid w:val="00C80F1E"/>
    <w:rsid w:val="00C847A9"/>
    <w:rsid w:val="00C94D6C"/>
    <w:rsid w:val="00C9775C"/>
    <w:rsid w:val="00CA0EE1"/>
    <w:rsid w:val="00CB5693"/>
    <w:rsid w:val="00CD03F5"/>
    <w:rsid w:val="00CD1E27"/>
    <w:rsid w:val="00CD3044"/>
    <w:rsid w:val="00CF133B"/>
    <w:rsid w:val="00CF66CC"/>
    <w:rsid w:val="00CF7A0E"/>
    <w:rsid w:val="00D03169"/>
    <w:rsid w:val="00D3057D"/>
    <w:rsid w:val="00D35A5B"/>
    <w:rsid w:val="00D435F1"/>
    <w:rsid w:val="00D77A0D"/>
    <w:rsid w:val="00D96FD3"/>
    <w:rsid w:val="00DB6E3E"/>
    <w:rsid w:val="00DE5325"/>
    <w:rsid w:val="00E01DB3"/>
    <w:rsid w:val="00E02591"/>
    <w:rsid w:val="00E159D8"/>
    <w:rsid w:val="00E3072D"/>
    <w:rsid w:val="00E346EE"/>
    <w:rsid w:val="00E5664B"/>
    <w:rsid w:val="00E621F4"/>
    <w:rsid w:val="00E6402F"/>
    <w:rsid w:val="00E6417D"/>
    <w:rsid w:val="00E674D9"/>
    <w:rsid w:val="00E81499"/>
    <w:rsid w:val="00E85DFD"/>
    <w:rsid w:val="00E85F69"/>
    <w:rsid w:val="00E87F10"/>
    <w:rsid w:val="00EA1AA5"/>
    <w:rsid w:val="00EA1DDD"/>
    <w:rsid w:val="00EA2FD3"/>
    <w:rsid w:val="00EC0BB8"/>
    <w:rsid w:val="00EC2873"/>
    <w:rsid w:val="00ED2F6B"/>
    <w:rsid w:val="00EE7EE5"/>
    <w:rsid w:val="00F0497F"/>
    <w:rsid w:val="00F0767E"/>
    <w:rsid w:val="00F227B6"/>
    <w:rsid w:val="00F24B30"/>
    <w:rsid w:val="00F362A7"/>
    <w:rsid w:val="00F40266"/>
    <w:rsid w:val="00F4631A"/>
    <w:rsid w:val="00F57204"/>
    <w:rsid w:val="00F817D8"/>
    <w:rsid w:val="00FA5BB7"/>
    <w:rsid w:val="00FB4F5E"/>
    <w:rsid w:val="00FC010B"/>
    <w:rsid w:val="00FD2CA9"/>
    <w:rsid w:val="00FD7A1C"/>
    <w:rsid w:val="00FE4759"/>
    <w:rsid w:val="00FF6042"/>
    <w:rsid w:val="00FF683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BD5B"/>
  <w15:chartTrackingRefBased/>
  <w15:docId w15:val="{376EA8AA-C049-4B44-9177-886C78D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25"/>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266"/>
    <w:rPr>
      <w:lang w:val="nl-NL"/>
    </w:rPr>
  </w:style>
  <w:style w:type="paragraph" w:styleId="Footer">
    <w:name w:val="footer"/>
    <w:basedOn w:val="Normal"/>
    <w:link w:val="FooterChar"/>
    <w:uiPriority w:val="99"/>
    <w:unhideWhenUsed/>
    <w:rsid w:val="00F40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66"/>
    <w:rPr>
      <w:lang w:val="nl-NL"/>
    </w:rPr>
  </w:style>
  <w:style w:type="character" w:customStyle="1" w:styleId="markedcontent">
    <w:name w:val="markedcontent"/>
    <w:basedOn w:val="DefaultParagraphFont"/>
    <w:rsid w:val="008D7836"/>
  </w:style>
  <w:style w:type="character" w:styleId="Hyperlink">
    <w:name w:val="Hyperlink"/>
    <w:basedOn w:val="DefaultParagraphFont"/>
    <w:uiPriority w:val="99"/>
    <w:unhideWhenUsed/>
    <w:rsid w:val="002B63F5"/>
    <w:rPr>
      <w:color w:val="0563C1" w:themeColor="hyperlink"/>
      <w:u w:val="single"/>
    </w:rPr>
  </w:style>
  <w:style w:type="character" w:styleId="UnresolvedMention">
    <w:name w:val="Unresolved Mention"/>
    <w:basedOn w:val="DefaultParagraphFont"/>
    <w:uiPriority w:val="99"/>
    <w:semiHidden/>
    <w:unhideWhenUsed/>
    <w:rsid w:val="002B63F5"/>
    <w:rPr>
      <w:color w:val="605E5C"/>
      <w:shd w:val="clear" w:color="auto" w:fill="E1DFDD"/>
    </w:rPr>
  </w:style>
  <w:style w:type="paragraph" w:styleId="ListParagraph">
    <w:name w:val="List Paragraph"/>
    <w:basedOn w:val="Normal"/>
    <w:uiPriority w:val="34"/>
    <w:qFormat/>
    <w:rsid w:val="00F0497F"/>
    <w:pPr>
      <w:ind w:left="720"/>
      <w:contextualSpacing/>
    </w:pPr>
  </w:style>
  <w:style w:type="table" w:styleId="TableGrid">
    <w:name w:val="Table Grid"/>
    <w:basedOn w:val="TableNormal"/>
    <w:uiPriority w:val="39"/>
    <w:rsid w:val="004B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3511"/>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Emphasis">
    <w:name w:val="Emphasis"/>
    <w:basedOn w:val="DefaultParagraphFont"/>
    <w:uiPriority w:val="20"/>
    <w:qFormat/>
    <w:rsid w:val="00243511"/>
    <w:rPr>
      <w:i/>
      <w:iCs/>
    </w:rPr>
  </w:style>
  <w:style w:type="paragraph" w:styleId="FootnoteText">
    <w:name w:val="footnote text"/>
    <w:basedOn w:val="Normal"/>
    <w:link w:val="FootnoteTextChar"/>
    <w:uiPriority w:val="99"/>
    <w:semiHidden/>
    <w:unhideWhenUsed/>
    <w:rsid w:val="00751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003"/>
    <w:rPr>
      <w:sz w:val="20"/>
      <w:szCs w:val="20"/>
      <w:lang w:val="nl-NL"/>
    </w:rPr>
  </w:style>
  <w:style w:type="character" w:styleId="FootnoteReference">
    <w:name w:val="footnote reference"/>
    <w:basedOn w:val="DefaultParagraphFont"/>
    <w:uiPriority w:val="99"/>
    <w:semiHidden/>
    <w:unhideWhenUsed/>
    <w:rsid w:val="00751003"/>
    <w:rPr>
      <w:vertAlign w:val="superscript"/>
    </w:rPr>
  </w:style>
  <w:style w:type="character" w:styleId="FollowedHyperlink">
    <w:name w:val="FollowedHyperlink"/>
    <w:basedOn w:val="DefaultParagraphFont"/>
    <w:uiPriority w:val="99"/>
    <w:semiHidden/>
    <w:unhideWhenUsed/>
    <w:rsid w:val="00735C7E"/>
    <w:rPr>
      <w:color w:val="954F72" w:themeColor="followedHyperlink"/>
      <w:u w:val="single"/>
    </w:rPr>
  </w:style>
  <w:style w:type="paragraph" w:styleId="Revision">
    <w:name w:val="Revision"/>
    <w:hidden/>
    <w:uiPriority w:val="99"/>
    <w:semiHidden/>
    <w:rsid w:val="009F3D09"/>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5489">
      <w:bodyDiv w:val="1"/>
      <w:marLeft w:val="0"/>
      <w:marRight w:val="0"/>
      <w:marTop w:val="0"/>
      <w:marBottom w:val="0"/>
      <w:divBdr>
        <w:top w:val="none" w:sz="0" w:space="0" w:color="auto"/>
        <w:left w:val="none" w:sz="0" w:space="0" w:color="auto"/>
        <w:bottom w:val="none" w:sz="0" w:space="0" w:color="auto"/>
        <w:right w:val="none" w:sz="0" w:space="0" w:color="auto"/>
      </w:divBdr>
    </w:div>
    <w:div w:id="427389696">
      <w:bodyDiv w:val="1"/>
      <w:marLeft w:val="0"/>
      <w:marRight w:val="0"/>
      <w:marTop w:val="0"/>
      <w:marBottom w:val="0"/>
      <w:divBdr>
        <w:top w:val="none" w:sz="0" w:space="0" w:color="auto"/>
        <w:left w:val="none" w:sz="0" w:space="0" w:color="auto"/>
        <w:bottom w:val="none" w:sz="0" w:space="0" w:color="auto"/>
        <w:right w:val="none" w:sz="0" w:space="0" w:color="auto"/>
      </w:divBdr>
    </w:div>
    <w:div w:id="469716454">
      <w:bodyDiv w:val="1"/>
      <w:marLeft w:val="0"/>
      <w:marRight w:val="0"/>
      <w:marTop w:val="0"/>
      <w:marBottom w:val="0"/>
      <w:divBdr>
        <w:top w:val="none" w:sz="0" w:space="0" w:color="auto"/>
        <w:left w:val="none" w:sz="0" w:space="0" w:color="auto"/>
        <w:bottom w:val="none" w:sz="0" w:space="0" w:color="auto"/>
        <w:right w:val="none" w:sz="0" w:space="0" w:color="auto"/>
      </w:divBdr>
    </w:div>
    <w:div w:id="659114773">
      <w:bodyDiv w:val="1"/>
      <w:marLeft w:val="0"/>
      <w:marRight w:val="0"/>
      <w:marTop w:val="0"/>
      <w:marBottom w:val="0"/>
      <w:divBdr>
        <w:top w:val="none" w:sz="0" w:space="0" w:color="auto"/>
        <w:left w:val="none" w:sz="0" w:space="0" w:color="auto"/>
        <w:bottom w:val="none" w:sz="0" w:space="0" w:color="auto"/>
        <w:right w:val="none" w:sz="0" w:space="0" w:color="auto"/>
      </w:divBdr>
    </w:div>
    <w:div w:id="751857832">
      <w:bodyDiv w:val="1"/>
      <w:marLeft w:val="0"/>
      <w:marRight w:val="0"/>
      <w:marTop w:val="0"/>
      <w:marBottom w:val="0"/>
      <w:divBdr>
        <w:top w:val="none" w:sz="0" w:space="0" w:color="auto"/>
        <w:left w:val="none" w:sz="0" w:space="0" w:color="auto"/>
        <w:bottom w:val="none" w:sz="0" w:space="0" w:color="auto"/>
        <w:right w:val="none" w:sz="0" w:space="0" w:color="auto"/>
      </w:divBdr>
    </w:div>
    <w:div w:id="11893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emissieregistratie.nl/data/overzichtstabellen-lucht/luchtverontreinigende-emiss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s://www.pbl.nl/publicaties/quick-scan-gevolgen-van-afschaffing-melkquot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7BAD-C609-4369-A90F-F9F514B1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der Sleen</dc:creator>
  <cp:keywords/>
  <dc:description/>
  <cp:lastModifiedBy>Max van der Sleen</cp:lastModifiedBy>
  <cp:revision>2</cp:revision>
  <cp:lastPrinted>2023-05-08T06:59:00Z</cp:lastPrinted>
  <dcterms:created xsi:type="dcterms:W3CDTF">2023-05-08T07:02:00Z</dcterms:created>
  <dcterms:modified xsi:type="dcterms:W3CDTF">2023-05-08T07:02:00Z</dcterms:modified>
</cp:coreProperties>
</file>