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都市自己綠</w:t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六都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再生能源治理評比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 報告摘要</w:t>
      </w:r>
    </w:p>
    <w:p w:rsidR="00000000" w:rsidDel="00000000" w:rsidP="00000000" w:rsidRDefault="00000000" w:rsidRPr="00000000" w14:paraId="00000003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  隨著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全球暖化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、空污問題日益嚴峻，國際間愈來愈多都市把使用再生能源取代化石燃料，列為對抗暖化的核心政策。事實上，全球超過7成的能源和電力消耗都來自都市，若都市不改變對化石燃料的依賴，氣候災難和空污問題難有反轉的一天。目前，全球有247個都市已經提出了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永續能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源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承諾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，以使用100%再生能源為目標。</w:t>
      </w:r>
    </w:p>
    <w:p w:rsidR="00000000" w:rsidDel="00000000" w:rsidP="00000000" w:rsidRDefault="00000000" w:rsidRPr="00000000" w14:paraId="00000005">
      <w:pPr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  綠色和平針對臺灣六個直轄市：臺北、新北、桃園、臺中、臺南、高雄，評價首長們的再生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能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源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治理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表現。從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都市再生能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源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政策</w:t>
      </w:r>
      <w:r w:rsidDel="00000000" w:rsidR="00000000" w:rsidRPr="00000000">
        <w:rPr>
          <w:rFonts w:ascii="PMingLiu" w:cs="PMingLiu" w:eastAsia="PMingLiu" w:hAnsi="PMingLiu"/>
          <w:i w:val="1"/>
          <w:rtl w:val="0"/>
        </w:rPr>
        <w:t xml:space="preserve">、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都市用電狀況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和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都市再生能源成長量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，三大面向評分，參考國際各大都市的再生能源政策，提出符合六都現況的建議。</w:t>
      </w:r>
    </w:p>
    <w:p w:rsidR="00000000" w:rsidDel="00000000" w:rsidP="00000000" w:rsidRDefault="00000000" w:rsidRPr="00000000" w14:paraId="00000007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第一部分 六都「再生能源治理評比」</w:t>
      </w:r>
    </w:p>
    <w:p w:rsidR="00000000" w:rsidDel="00000000" w:rsidP="00000000" w:rsidRDefault="00000000" w:rsidRPr="00000000" w14:paraId="00000009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🔺</w:t>
      </w:r>
      <w:r w:rsidDel="00000000" w:rsidR="00000000" w:rsidRPr="00000000">
        <w:rPr>
          <w:rFonts w:ascii="PMingLiu" w:cs="PMingLiu" w:eastAsia="PMingLiu" w:hAnsi="PMingLiu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評比項目一：六都再生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能源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政策</w:t>
      </w:r>
    </w:p>
    <w:p w:rsidR="00000000" w:rsidDel="00000000" w:rsidP="00000000" w:rsidRDefault="00000000" w:rsidRPr="00000000" w14:paraId="0000000B">
      <w:pPr>
        <w:rPr>
          <w:rFonts w:ascii="PMingLiu" w:cs="PMingLiu" w:eastAsia="PMingLiu" w:hAnsi="PMingLiu"/>
          <w:highlight w:val="white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我們參考國際能源智庫「21世紀再生能源政策網絡」（Ren21）</w:t>
      </w:r>
      <w:r w:rsidDel="00000000" w:rsidR="00000000" w:rsidRPr="00000000">
        <w:rPr>
          <w:rFonts w:ascii="PMingLiu" w:cs="PMingLiu" w:eastAsia="PMingLiu" w:hAnsi="PMingLiu"/>
          <w:vertAlign w:val="superscript"/>
        </w:rPr>
        <w:footnoteReference w:customMarkFollows="0" w:id="0"/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的指標，為六都再生能源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政策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評分，說明如下</w:t>
      </w:r>
      <w:r w:rsidDel="00000000" w:rsidR="00000000" w:rsidRPr="00000000">
        <w:rPr>
          <w:rFonts w:ascii="PMingLiu" w:cs="PMingLiu" w:eastAsia="PMingLiu" w:hAnsi="PMingLiu"/>
          <w:highlight w:val="white"/>
          <w:rtl w:val="0"/>
        </w:rPr>
        <w:t xml:space="preserve">：</w:t>
      </w:r>
    </w:p>
    <w:p w:rsidR="00000000" w:rsidDel="00000000" w:rsidP="00000000" w:rsidRDefault="00000000" w:rsidRPr="00000000" w14:paraId="0000000C">
      <w:pPr>
        <w:rPr>
          <w:rFonts w:ascii="PMingLiu" w:cs="PMingLiu" w:eastAsia="PMingLiu" w:hAnsi="PMingLiu"/>
          <w:highlight w:val="white"/>
        </w:rPr>
      </w:pPr>
      <w:r w:rsidDel="00000000" w:rsidR="00000000" w:rsidRPr="00000000">
        <w:rPr>
          <w:rFonts w:ascii="PMingLiu" w:cs="PMingLiu" w:eastAsia="PMingLiu" w:hAnsi="PMingLiu"/>
          <w:highlight w:val="white"/>
          <w:rtl w:val="0"/>
        </w:rPr>
        <w:t xml:space="preserve">(1)設定目標：都市</w:t>
      </w:r>
      <w:r w:rsidDel="00000000" w:rsidR="00000000" w:rsidRPr="00000000">
        <w:rPr>
          <w:rFonts w:ascii="PMingLiu" w:cs="PMingLiu" w:eastAsia="PMingLiu" w:hAnsi="PMingLiu"/>
          <w:highlight w:val="white"/>
          <w:rtl w:val="0"/>
        </w:rPr>
        <w:t xml:space="preserve">是否</w:t>
      </w:r>
      <w:r w:rsidDel="00000000" w:rsidR="00000000" w:rsidRPr="00000000">
        <w:rPr>
          <w:rFonts w:ascii="PMingLiu" w:cs="PMingLiu" w:eastAsia="PMingLiu" w:hAnsi="PMingLiu"/>
          <w:highlight w:val="white"/>
          <w:rtl w:val="0"/>
        </w:rPr>
        <w:t xml:space="preserve">設定再生能源發展目標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（</w:t>
      </w:r>
      <w:r w:rsidDel="00000000" w:rsidR="00000000" w:rsidRPr="00000000">
        <w:rPr>
          <w:rFonts w:ascii="PMingLiu" w:cs="PMingLiu" w:eastAsia="PMingLiu" w:hAnsi="PMingLiu"/>
          <w:highlight w:val="white"/>
          <w:rtl w:val="0"/>
        </w:rPr>
        <w:t xml:space="preserve">取代化石燃料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）</w:t>
      </w:r>
      <w:r w:rsidDel="00000000" w:rsidR="00000000" w:rsidRPr="00000000">
        <w:rPr>
          <w:rFonts w:ascii="PMingLiu" w:cs="PMingLiu" w:eastAsia="PMingLiu" w:hAnsi="PMingLiu"/>
          <w:highlight w:val="white"/>
          <w:rtl w:val="0"/>
        </w:rPr>
        <w:t xml:space="preserve">。</w:t>
      </w:r>
    </w:p>
    <w:p w:rsidR="00000000" w:rsidDel="00000000" w:rsidP="00000000" w:rsidRDefault="00000000" w:rsidRPr="00000000" w14:paraId="0000000D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(2)法律義務規範：都市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是否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於地方自治條例、建築法規或都市計畫中納入再生能源發展的義務或規範。</w:t>
      </w:r>
    </w:p>
    <w:p w:rsidR="00000000" w:rsidDel="00000000" w:rsidP="00000000" w:rsidRDefault="00000000" w:rsidRPr="00000000" w14:paraId="0000000E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(3)市政基礎設施：都市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是否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於公有建物或公有事業中推動再生能源。</w:t>
      </w:r>
    </w:p>
    <w:p w:rsidR="00000000" w:rsidDel="00000000" w:rsidP="00000000" w:rsidRDefault="00000000" w:rsidRPr="00000000" w14:paraId="0000000F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(4)支持鼓勵民間自願行動：都市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是否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提供民眾或企業使用再生能源的補助；是否推行示範計畫鼓勵參與。</w:t>
      </w:r>
    </w:p>
    <w:p w:rsidR="00000000" w:rsidDel="00000000" w:rsidP="00000000" w:rsidRDefault="00000000" w:rsidRPr="00000000" w14:paraId="00000010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(5)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提高再生能源使用意識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：都市對再生能源資訊的公開程度，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是否透過能源教育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、公共溝通</w:t>
      </w:r>
    </w:p>
    <w:p w:rsidR="00000000" w:rsidDel="00000000" w:rsidP="00000000" w:rsidRDefault="00000000" w:rsidRPr="00000000" w14:paraId="00000011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打造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公民電廠或社區電廠。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</w:t>
      </w:r>
    </w:p>
    <w:tbl>
      <w:tblPr>
        <w:tblStyle w:val="Table1"/>
        <w:tblW w:w="9315.0" w:type="dxa"/>
        <w:jc w:val="left"/>
        <w:tblInd w:w="-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1230"/>
        <w:gridCol w:w="1545"/>
        <w:gridCol w:w="1560"/>
        <w:gridCol w:w="1620"/>
        <w:gridCol w:w="1620"/>
        <w:gridCol w:w="960"/>
        <w:tblGridChange w:id="0">
          <w:tblGrid>
            <w:gridCol w:w="780"/>
            <w:gridCol w:w="1230"/>
            <w:gridCol w:w="1545"/>
            <w:gridCol w:w="1560"/>
            <w:gridCol w:w="1620"/>
            <w:gridCol w:w="1620"/>
            <w:gridCol w:w="96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設定目標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法律義務規範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市政基礎建設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支持鼓勵民間自願行動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提高再生能源使用意識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評分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臺北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  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   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  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0" w:right="14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C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新北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  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桃園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  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  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臺中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0" w:right="14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臺南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  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   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高雄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  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    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0" w:right="140" w:firstLine="0"/>
              <w:jc w:val="center"/>
              <w:rPr>
                <w:rFonts w:ascii="PMingLiu" w:cs="PMingLiu" w:eastAsia="PMingLiu" w:hAnsi="PMingLiu"/>
                <w:b w:val="1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140" w:right="14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44">
      <w:pPr>
        <w:jc w:val="center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表一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、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六都再生能源政策評比結果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（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△表示待加強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ab/>
      </w:r>
    </w:p>
    <w:p w:rsidR="00000000" w:rsidDel="00000000" w:rsidP="00000000" w:rsidRDefault="00000000" w:rsidRPr="00000000" w14:paraId="00000046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  </w:t>
      </w:r>
    </w:p>
    <w:p w:rsidR="00000000" w:rsidDel="00000000" w:rsidP="00000000" w:rsidRDefault="00000000" w:rsidRPr="00000000" w14:paraId="00000047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  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在設定目標這個範疇中，六都皆掛0，沒有提出再生能源目標，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僅有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減碳目標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，而且以節能和提升能源效率為主要手段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綠色和平認為，若不從電力供給端檢視電力來源，以再生能源取代化石燃料，不但和國際都市的政策承諾有差距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（見表二）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，也無法在暖化壓力下達成減碳標準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</w:p>
    <w:p w:rsidR="00000000" w:rsidDel="00000000" w:rsidP="00000000" w:rsidRDefault="00000000" w:rsidRPr="00000000" w14:paraId="00000048">
      <w:pPr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  另外，六都在法律義務規範，市政基礎建設和鼓勵民間自願行動三大面向上表現持平；在提高再生能源使用意識上，以新北、桃園、臺南三都表現較佳。</w:t>
      </w:r>
    </w:p>
    <w:p w:rsidR="00000000" w:rsidDel="00000000" w:rsidP="00000000" w:rsidRDefault="00000000" w:rsidRPr="00000000" w14:paraId="0000004A">
      <w:pPr>
        <w:jc w:val="cente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</w:rPr>
        <w:drawing>
          <wp:inline distB="114300" distT="114300" distL="114300" distR="114300">
            <wp:extent cx="4743450" cy="22383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表二、 全球主要都市再生能源目標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</w:t>
      </w:r>
    </w:p>
    <w:p w:rsidR="00000000" w:rsidDel="00000000" w:rsidP="00000000" w:rsidRDefault="00000000" w:rsidRPr="00000000" w14:paraId="0000004D">
      <w:pPr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🔺評比項目二：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六都用電量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  在用電量部分，我們整理了過去五年（2014至2018年）六都向台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電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購買的總電量，作為評價六都整體用電量的依據</w:t>
      </w:r>
      <w:r w:rsidDel="00000000" w:rsidR="00000000" w:rsidRPr="00000000">
        <w:rPr>
          <w:rFonts w:ascii="PMingLiu" w:cs="PMingLiu" w:eastAsia="PMingLiu" w:hAnsi="PMingLiu"/>
          <w:vertAlign w:val="superscript"/>
        </w:rPr>
        <w:footnoteReference w:customMarkFollows="0" w:id="1"/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用電成長率愈高的都市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，評比中得分愈低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六都用電成長率依序為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：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臺中市、高雄市、臺南市、新北市、桃園市與臺北市。以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2018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年為例，臺中市用電量就高達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298.4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億度，占全臺用電量約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14.1%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，為全臺用電量最大的都市，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更是近五年來用電量成長最大的都市（約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50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億度）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  結果顯示（見表三），</w:t>
      </w:r>
      <w:r w:rsidDel="00000000" w:rsidR="00000000" w:rsidRPr="00000000">
        <w:rPr>
          <w:rFonts w:ascii="PMingLiu" w:cs="PMingLiu" w:eastAsia="PMingLiu" w:hAnsi="PMingLiu"/>
          <w:b w:val="1"/>
          <w:u w:val="single"/>
          <w:rtl w:val="0"/>
        </w:rPr>
        <w:t xml:space="preserve">六都除了臺北市用電量呈負成長，其他五都的用電量都呈持平或增加。其中臺中成長率更超過19％，為全臺</w:t>
      </w:r>
      <w:r w:rsidDel="00000000" w:rsidR="00000000" w:rsidRPr="00000000">
        <w:rPr>
          <w:rFonts w:ascii="PMingLiu" w:cs="PMingLiu" w:eastAsia="PMingLiu" w:hAnsi="PMingLiu"/>
          <w:b w:val="1"/>
          <w:u w:val="single"/>
          <w:rtl w:val="0"/>
        </w:rPr>
        <w:t xml:space="preserve">「</w:t>
      </w:r>
      <w:r w:rsidDel="00000000" w:rsidR="00000000" w:rsidRPr="00000000">
        <w:rPr>
          <w:rFonts w:ascii="PMingLiu" w:cs="PMingLiu" w:eastAsia="PMingLiu" w:hAnsi="PMingLiu"/>
          <w:b w:val="1"/>
          <w:u w:val="single"/>
          <w:rtl w:val="0"/>
        </w:rPr>
        <w:t xml:space="preserve">耗</w:t>
      </w:r>
      <w:r w:rsidDel="00000000" w:rsidR="00000000" w:rsidRPr="00000000">
        <w:rPr>
          <w:rFonts w:ascii="PMingLiu" w:cs="PMingLiu" w:eastAsia="PMingLiu" w:hAnsi="PMingLiu"/>
          <w:b w:val="1"/>
          <w:u w:val="single"/>
          <w:rtl w:val="0"/>
        </w:rPr>
        <w:t xml:space="preserve">電</w:t>
      </w:r>
      <w:r w:rsidDel="00000000" w:rsidR="00000000" w:rsidRPr="00000000">
        <w:rPr>
          <w:rFonts w:ascii="PMingLiu" w:cs="PMingLiu" w:eastAsia="PMingLiu" w:hAnsi="PMingLiu"/>
          <w:b w:val="1"/>
          <w:u w:val="single"/>
          <w:rtl w:val="0"/>
        </w:rPr>
        <w:t xml:space="preserve">冠</w:t>
      </w:r>
      <w:r w:rsidDel="00000000" w:rsidR="00000000" w:rsidRPr="00000000">
        <w:rPr>
          <w:rFonts w:ascii="PMingLiu" w:cs="PMingLiu" w:eastAsia="PMingLiu" w:hAnsi="PMingLiu"/>
          <w:b w:val="1"/>
          <w:u w:val="single"/>
          <w:rtl w:val="0"/>
        </w:rPr>
        <w:t xml:space="preserve">軍」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未來六都人口及經濟的成長，勢必將導致用電需求持續增加，若再不改變能源使用方式，透過再生能源降低對化石燃料的依賴，暖化和空污問題將更惡化。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 </w:t>
      </w:r>
    </w:p>
    <w:tbl>
      <w:tblPr>
        <w:tblStyle w:val="Table2"/>
        <w:tblW w:w="90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95"/>
        <w:gridCol w:w="3225"/>
        <w:gridCol w:w="2745"/>
        <w:gridCol w:w="1350"/>
        <w:tblGridChange w:id="0">
          <w:tblGrid>
            <w:gridCol w:w="1695"/>
            <w:gridCol w:w="3225"/>
            <w:gridCol w:w="2745"/>
            <w:gridCol w:w="135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都市名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近五年用電成長量(2014~2018)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近五年用電成長率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評分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臺北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-0.2億度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-0.1%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A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新北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8億度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4.1%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B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桃園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8.9億度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3.3%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B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臺中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48.6億度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19.5%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D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臺南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11.6億度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4.6%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B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高雄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14.3億度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5.3%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6D">
      <w:pPr>
        <w:jc w:val="center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表三、六都用電量成長率評比結果（A:用電量負成長，B:用電量成長5%以內，C:用電量成長5%~10%，D:用電量成長10%以上）</w:t>
      </w:r>
    </w:p>
    <w:p w:rsidR="00000000" w:rsidDel="00000000" w:rsidP="00000000" w:rsidRDefault="00000000" w:rsidRPr="00000000" w14:paraId="0000006E">
      <w:pPr>
        <w:jc w:val="cente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🔺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評比項目三：六都再生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能源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（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太陽光電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+風力）成長量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 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從過去五年再生能源裝置的成長量</w:t>
      </w:r>
      <w:r w:rsidDel="00000000" w:rsidR="00000000" w:rsidRPr="00000000">
        <w:rPr>
          <w:rFonts w:ascii="PMingLiu" w:cs="PMingLiu" w:eastAsia="PMingLiu" w:hAnsi="PMingLiu"/>
          <w:vertAlign w:val="superscript"/>
        </w:rPr>
        <w:footnoteReference w:customMarkFollows="0" w:id="2"/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，可以看出六都發展再生能源的積極度，考量都會特性各有不同，我們僅比較太陽光電和風力發電（包括陸域及離岸風電）的裝置容量，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成長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量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愈高，得分愈高。由表四可知，過去五年，六都中再生能源成長量最高的為臺南市，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若以再生能源潛力較大的四都桃園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、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臺中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、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臺南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、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高雄相較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，臺中市雖位於日照條件較佳的中南部，再生能源成長量卻是四都中最低的一都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 </w:t>
      </w:r>
    </w:p>
    <w:tbl>
      <w:tblPr>
        <w:tblStyle w:val="Table3"/>
        <w:tblW w:w="9036.009538950715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75.2305246422894"/>
        <w:gridCol w:w="1062.3529411764705"/>
        <w:gridCol w:w="1062.3529411764705"/>
        <w:gridCol w:w="990.5723370429253"/>
        <w:gridCol w:w="990.5723370429253"/>
        <w:gridCol w:w="1004.9284578696345"/>
        <w:gridCol w:w="1920"/>
        <w:gridCol w:w="1230"/>
        <w:tblGridChange w:id="0">
          <w:tblGrid>
            <w:gridCol w:w="775.2305246422894"/>
            <w:gridCol w:w="1062.3529411764705"/>
            <w:gridCol w:w="1062.3529411764705"/>
            <w:gridCol w:w="990.5723370429253"/>
            <w:gridCol w:w="990.5723370429253"/>
            <w:gridCol w:w="1004.9284578696345"/>
            <w:gridCol w:w="1920"/>
            <w:gridCol w:w="1230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再生能源成長量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評分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臺北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0.4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10.9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10.6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新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14.0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16.6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23.6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30.2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16.2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桃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98.6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107.3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117.4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155.0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224.4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125.8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C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臺中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147.6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168.1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189.2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208.5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269.0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121.4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C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臺南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62.2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107.5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153.0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224.3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398.2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336.0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A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高雄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71.2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89.7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112.6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170.6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297.0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225.8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AA">
      <w:pPr>
        <w:jc w:val="center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表四、六都再生能源發展積極度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（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太陽光電+風力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)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評分(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裝置容量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單位MW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) （成長量300~400MW以上得分A，成長量150~300MW得分B，成長量50~150MW得分C，成長量0~50MW得分D）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</w:t>
      </w:r>
    </w:p>
    <w:p w:rsidR="00000000" w:rsidDel="00000000" w:rsidP="00000000" w:rsidRDefault="00000000" w:rsidRPr="00000000" w14:paraId="000000AC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   屋頂型太陽光電是全球都市發展再生能源的重點，六都中，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桃園、臺中、臺南和高雄都有超過1000MW的屋頂型太陽光電潛在裝置量（見表五）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臺中市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的發展潛力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更在六都中排名第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三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。整體來說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若桃園、臺中、臺南、高雄首長們願極大化都市內的太陽光電發展，這四都的再生能源電力占比均將提升至5%以上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以臺中市來說，如果發展1173MW的屋頂型太陽光電，每年約可以增加12.33億度電。不僅可以將再生能源電力占比提升至5%，每年將可以減少65.23萬噸的二氧化碳排放量，約等於1680座大安森林公園的年碳吸附量。這些發電量將可以讓臺中火力發電廠一部機組降載30%。</w:t>
      </w:r>
      <w:r w:rsidDel="00000000" w:rsidR="00000000" w:rsidRPr="00000000">
        <w:rPr>
          <w:rtl w:val="0"/>
        </w:rPr>
      </w:r>
    </w:p>
    <w:tbl>
      <w:tblPr>
        <w:tblStyle w:val="Table4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3570"/>
        <w:gridCol w:w="3345"/>
        <w:tblGridChange w:id="0">
          <w:tblGrid>
            <w:gridCol w:w="2100"/>
            <w:gridCol w:w="3570"/>
            <w:gridCol w:w="334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4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縣市名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4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2018現有裝置量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(屋頂型+地面型)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潛在裝置量(屋頂型)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4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臺北市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4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left="0" w:firstLine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10.9MW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left="0" w:firstLine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270MW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4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新北市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4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left="0" w:firstLine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20.2MW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left="0" w:firstLine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596MW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4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桃園市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4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left="0" w:firstLine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123.7MW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left="0" w:firstLine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1186MW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4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臺中市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4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left="0" w:firstLine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137.3MW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left="0" w:firstLine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1173MW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4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臺南市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4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left="0" w:firstLine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398.2MW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left="0" w:firstLine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1266MW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4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高雄市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4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left="0" w:firstLine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297.0MW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left="0" w:firstLine="0"/>
              <w:jc w:val="righ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1072MW</w:t>
            </w:r>
          </w:p>
        </w:tc>
      </w:tr>
    </w:tbl>
    <w:p w:rsidR="00000000" w:rsidDel="00000000" w:rsidP="00000000" w:rsidRDefault="00000000" w:rsidRPr="00000000" w14:paraId="000000C2">
      <w:pPr>
        <w:jc w:val="center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表五、六都太陽光電裝置量潛力評估</w:t>
      </w:r>
    </w:p>
    <w:p w:rsidR="00000000" w:rsidDel="00000000" w:rsidP="00000000" w:rsidRDefault="00000000" w:rsidRPr="00000000" w14:paraId="000000C3">
      <w:pPr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960" w:hanging="480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評比結果</w:t>
      </w:r>
    </w:p>
    <w:p w:rsidR="00000000" w:rsidDel="00000000" w:rsidP="00000000" w:rsidRDefault="00000000" w:rsidRPr="00000000" w14:paraId="000000C5">
      <w:pPr>
        <w:ind w:left="480" w:firstLine="0"/>
        <w:rPr>
          <w:rFonts w:ascii="PMingLiu" w:cs="PMingLiu" w:eastAsia="PMingLiu" w:hAnsi="PMingLiu"/>
          <w:b w:val="1"/>
          <w:u w:val="single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   以再生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能源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政策，用電成長率，再生能源成長量綜合評析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（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表六），臺南市在六都中表現最出色，再生能源政策較完整，用電成長率和再生能源成長量，也是較理想的。</w:t>
      </w:r>
      <w:r w:rsidDel="00000000" w:rsidR="00000000" w:rsidRPr="00000000">
        <w:rPr>
          <w:rFonts w:ascii="PMingLiu" w:cs="PMingLiu" w:eastAsia="PMingLiu" w:hAnsi="PMingLiu"/>
          <w:b w:val="1"/>
          <w:u w:val="single"/>
          <w:rtl w:val="0"/>
        </w:rPr>
        <w:t xml:space="preserve">反觀臺中，用電成長居全臺之冠，近五年成長率近20%，但再生能源成長量卻是潛力較大的中南部四都中最低的，大量依靠化石燃料供電，導致空污與溫室氣體排放管制成效非常有限，再生</w:t>
      </w:r>
      <w:r w:rsidDel="00000000" w:rsidR="00000000" w:rsidRPr="00000000">
        <w:rPr>
          <w:rFonts w:ascii="PMingLiu" w:cs="PMingLiu" w:eastAsia="PMingLiu" w:hAnsi="PMingLiu"/>
          <w:b w:val="1"/>
          <w:u w:val="single"/>
          <w:rtl w:val="0"/>
        </w:rPr>
        <w:t xml:space="preserve">能源</w:t>
      </w:r>
      <w:r w:rsidDel="00000000" w:rsidR="00000000" w:rsidRPr="00000000">
        <w:rPr>
          <w:rFonts w:ascii="PMingLiu" w:cs="PMingLiu" w:eastAsia="PMingLiu" w:hAnsi="PMingLiu"/>
          <w:b w:val="1"/>
          <w:u w:val="single"/>
          <w:rtl w:val="0"/>
        </w:rPr>
        <w:t xml:space="preserve">治理積極度有待加強。</w:t>
      </w:r>
    </w:p>
    <w:p w:rsidR="00000000" w:rsidDel="00000000" w:rsidP="00000000" w:rsidRDefault="00000000" w:rsidRPr="00000000" w14:paraId="000000C6">
      <w:pPr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830"/>
        <w:gridCol w:w="1530"/>
        <w:gridCol w:w="1785"/>
        <w:gridCol w:w="2010"/>
        <w:gridCol w:w="1230"/>
        <w:tblGridChange w:id="0">
          <w:tblGrid>
            <w:gridCol w:w="885"/>
            <w:gridCol w:w="1830"/>
            <w:gridCol w:w="1530"/>
            <w:gridCol w:w="1785"/>
            <w:gridCol w:w="2010"/>
            <w:gridCol w:w="1230"/>
          </w:tblGrid>
        </w:tblGridChange>
      </w:tblGrid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480" w:firstLine="0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0" w:firstLine="0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 再生能源政策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0" w:firstLine="0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 用電成長率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ind w:left="0" w:firstLine="0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再生能源成長量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left="0" w:firstLine="0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再生能源治理成效</w:t>
            </w:r>
          </w:p>
          <w:p w:rsidR="00000000" w:rsidDel="00000000" w:rsidP="00000000" w:rsidRDefault="00000000" w:rsidRPr="00000000" w14:paraId="000000CC">
            <w:pPr>
              <w:ind w:left="0" w:firstLine="0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   (前三項加總)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left="0" w:firstLine="0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    名次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臺北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第三名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新北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第三名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桃園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第二名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臺中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第六名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臺南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第一名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高雄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ind w:lef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第三名</w:t>
            </w:r>
          </w:p>
        </w:tc>
      </w:tr>
    </w:tbl>
    <w:p w:rsidR="00000000" w:rsidDel="00000000" w:rsidP="00000000" w:rsidRDefault="00000000" w:rsidRPr="00000000" w14:paraId="000000F2">
      <w:pPr>
        <w:jc w:val="center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表六、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六都再生能源治理評比結果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（該項目拿A者得4分，B者得3分，C者得2分，D者得1分）</w:t>
      </w:r>
    </w:p>
    <w:p w:rsidR="00000000" w:rsidDel="00000000" w:rsidP="00000000" w:rsidRDefault="00000000" w:rsidRPr="00000000" w14:paraId="000000F3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 </w:t>
      </w:r>
    </w:p>
    <w:p w:rsidR="00000000" w:rsidDel="00000000" w:rsidP="00000000" w:rsidRDefault="00000000" w:rsidRPr="00000000" w14:paraId="000000F4">
      <w:pPr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第二部分 六都「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再生能源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發展建議」</w:t>
      </w:r>
    </w:p>
    <w:p w:rsidR="00000000" w:rsidDel="00000000" w:rsidP="00000000" w:rsidRDefault="00000000" w:rsidRPr="00000000" w14:paraId="000000F5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</w:t>
      </w:r>
    </w:p>
    <w:p w:rsidR="00000000" w:rsidDel="00000000" w:rsidP="00000000" w:rsidRDefault="00000000" w:rsidRPr="00000000" w14:paraId="000000F6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依前述評比，我們對六都的再生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能源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治理建議如下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0" w:firstLine="0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1.</w:t>
      </w:r>
      <w:r w:rsidDel="00000000" w:rsidR="00000000" w:rsidRPr="00000000">
        <w:rPr>
          <w:rFonts w:ascii="PMingLiu" w:cs="PMingLiu" w:eastAsia="PMingLiu" w:hAnsi="PMingLiu"/>
          <w:b w:val="1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訂定再生能源發展目標</w:t>
      </w:r>
    </w:p>
    <w:p w:rsidR="00000000" w:rsidDel="00000000" w:rsidP="00000000" w:rsidRDefault="00000000" w:rsidRPr="00000000" w14:paraId="000000F9">
      <w:pPr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和國際各大都市的再生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能源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治理政策相較（表七），六都只有零星示範計畫，節電目標。欠缺「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以再生能源替代化石燃料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」的承諾和目標。此外，尚需推動的行動方案包括：</w:t>
      </w:r>
    </w:p>
    <w:p w:rsidR="00000000" w:rsidDel="00000000" w:rsidP="00000000" w:rsidRDefault="00000000" w:rsidRPr="00000000" w14:paraId="000000FA">
      <w:pPr>
        <w:ind w:left="720" w:hanging="360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left="720" w:hanging="36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🔺</w:t>
      </w:r>
      <w:r w:rsidDel="00000000" w:rsidR="00000000" w:rsidRPr="00000000">
        <w:rPr>
          <w:rFonts w:ascii="PMingLiu" w:cs="PMingLiu" w:eastAsia="PMingLiu" w:hAnsi="PMingLiu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六都雖設置地方自治條例要求新建物安裝太陽光電，但遠不及國際都市，把再生能源電力使用占比納入都更、新建案、新市鎮的規劃來得有魄力、有前瞻性。</w:t>
      </w:r>
    </w:p>
    <w:p w:rsidR="00000000" w:rsidDel="00000000" w:rsidP="00000000" w:rsidRDefault="00000000" w:rsidRPr="00000000" w14:paraId="000000FC">
      <w:pPr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 🔺 六都雖制定了鼓勵民間參與的政策，但多以單向補助為主，缺乏雙向溝通，打造公民</w:t>
      </w:r>
    </w:p>
    <w:p w:rsidR="00000000" w:rsidDel="00000000" w:rsidP="00000000" w:rsidRDefault="00000000" w:rsidRPr="00000000" w14:paraId="000000FD">
      <w:pPr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       培力的政策設計。</w:t>
      </w:r>
    </w:p>
    <w:p w:rsidR="00000000" w:rsidDel="00000000" w:rsidP="00000000" w:rsidRDefault="00000000" w:rsidRPr="00000000" w14:paraId="000000FE">
      <w:pPr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 🔺 六都再生能源資訊公開不足，缺少都市能源使用、電力來源等必要資訊；也未提供民</w:t>
      </w:r>
    </w:p>
    <w:p w:rsidR="00000000" w:rsidDel="00000000" w:rsidP="00000000" w:rsidRDefault="00000000" w:rsidRPr="00000000" w14:paraId="000000FF">
      <w:pPr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       眾「如何安裝太陽能」、「再生能源潛力地圖」等補充資料。</w:t>
      </w:r>
    </w:p>
    <w:p w:rsidR="00000000" w:rsidDel="00000000" w:rsidP="00000000" w:rsidRDefault="00000000" w:rsidRPr="00000000" w14:paraId="00000100">
      <w:pPr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0" w:firstLine="0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2.</w:t>
      </w:r>
      <w:r w:rsidDel="00000000" w:rsidR="00000000" w:rsidRPr="00000000">
        <w:rPr>
          <w:rFonts w:ascii="PMingLiu" w:cs="PMingLiu" w:eastAsia="PMingLiu" w:hAnsi="PMingLiu"/>
          <w:b w:val="1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加強用電大戶的管理</w:t>
      </w:r>
    </w:p>
    <w:p w:rsidR="00000000" w:rsidDel="00000000" w:rsidP="00000000" w:rsidRDefault="00000000" w:rsidRPr="00000000" w14:paraId="00000102">
      <w:pPr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六都中，除了臺北市用電量呈負成長，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其他五都的用電量增加多來自800KW以上用電大戶，其中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桃園、臺中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、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臺南和高雄四都，用電大戶以工業用戶為主，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因此這四都首長們有必要針對工業用電大戶，提出轉用再生能源的輔導或獎勵機制，並確實執行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若首長能按再生能源發展條例擬定的方向規範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，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預期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每年可減少46.6萬噸的二氧化碳排放量</w:t>
      </w:r>
      <w:r w:rsidDel="00000000" w:rsidR="00000000" w:rsidRPr="00000000">
        <w:rPr>
          <w:rFonts w:ascii="PMingLiu" w:cs="PMingLiu" w:eastAsia="PMingLiu" w:hAnsi="PMingLiu"/>
          <w:b w:val="1"/>
          <w:vertAlign w:val="superscript"/>
        </w:rPr>
        <w:footnoteReference w:customMarkFollows="0" w:id="3"/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，約等於1200座大安森林公園的年碳吸附量</w:t>
      </w:r>
      <w:r w:rsidDel="00000000" w:rsidR="00000000" w:rsidRPr="00000000">
        <w:rPr>
          <w:rFonts w:ascii="PMingLiu" w:cs="PMingLiu" w:eastAsia="PMingLiu" w:hAnsi="PMingLiu"/>
          <w:b w:val="1"/>
          <w:vertAlign w:val="superscript"/>
        </w:rPr>
        <w:footnoteReference w:customMarkFollows="0" w:id="4"/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</w:p>
    <w:p w:rsidR="00000000" w:rsidDel="00000000" w:rsidP="00000000" w:rsidRDefault="00000000" w:rsidRPr="00000000" w14:paraId="00000103">
      <w:pPr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55.0" w:type="dxa"/>
        <w:jc w:val="left"/>
        <w:tblInd w:w="-4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105"/>
        <w:gridCol w:w="750"/>
        <w:gridCol w:w="690"/>
        <w:gridCol w:w="750"/>
        <w:gridCol w:w="675"/>
        <w:gridCol w:w="780"/>
        <w:gridCol w:w="780"/>
        <w:gridCol w:w="765"/>
        <w:gridCol w:w="690"/>
        <w:gridCol w:w="690"/>
        <w:gridCol w:w="720"/>
        <w:gridCol w:w="750"/>
        <w:tblGridChange w:id="0">
          <w:tblGrid>
            <w:gridCol w:w="1710"/>
            <w:gridCol w:w="105"/>
            <w:gridCol w:w="750"/>
            <w:gridCol w:w="690"/>
            <w:gridCol w:w="750"/>
            <w:gridCol w:w="675"/>
            <w:gridCol w:w="780"/>
            <w:gridCol w:w="780"/>
            <w:gridCol w:w="765"/>
            <w:gridCol w:w="690"/>
            <w:gridCol w:w="690"/>
            <w:gridCol w:w="720"/>
            <w:gridCol w:w="750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都市別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舊金山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ind w:left="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   倫  </w:t>
            </w:r>
          </w:p>
          <w:p w:rsidR="00000000" w:rsidDel="00000000" w:rsidP="00000000" w:rsidRDefault="00000000" w:rsidRPr="00000000" w14:paraId="00000108">
            <w:pPr>
              <w:ind w:left="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   敦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東京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首爾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紐約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臺北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新北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桃園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臺中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臺南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高雄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ind w:left="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明確設定目標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ind w:left="140" w:right="140" w:firstLine="0"/>
              <w:jc w:val="center"/>
              <w:rPr>
                <w:rFonts w:ascii="PMingLiu" w:cs="PMingLiu" w:eastAsia="PMingLiu" w:hAnsi="PMingLiu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ind w:left="140" w:right="140" w:firstLine="0"/>
              <w:jc w:val="center"/>
              <w:rPr>
                <w:rFonts w:ascii="PMingLiu" w:cs="PMingLiu" w:eastAsia="PMingLiu" w:hAnsi="PMingLiu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ind w:left="140" w:right="140" w:firstLine="0"/>
              <w:jc w:val="center"/>
              <w:rPr>
                <w:rFonts w:ascii="PMingLiu" w:cs="PMingLiu" w:eastAsia="PMingLiu" w:hAnsi="PMingLiu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ind w:left="140" w:right="140" w:firstLine="0"/>
              <w:jc w:val="center"/>
              <w:rPr>
                <w:rFonts w:ascii="PMingLiu" w:cs="PMingLiu" w:eastAsia="PMingLiu" w:hAnsi="PMingLiu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ind w:left="140" w:right="140" w:firstLine="0"/>
              <w:jc w:val="center"/>
              <w:rPr>
                <w:rFonts w:ascii="PMingLiu" w:cs="PMingLiu" w:eastAsia="PMingLiu" w:hAnsi="PMingLiu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ind w:left="140" w:right="140" w:firstLine="0"/>
              <w:jc w:val="center"/>
              <w:rPr>
                <w:rFonts w:ascii="PMingLiu" w:cs="PMingLiu" w:eastAsia="PMingLiu" w:hAnsi="PMingLiu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ind w:left="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法律義務規範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ind w:left="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市政府基礎設施結合再生能源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ind w:left="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自願行動/政府提供示範計畫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ind w:left="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資訊提升與提高民眾RE使用意識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△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△</w:t>
            </w: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16"/>
                <w:szCs w:val="1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ind w:left="140" w:right="140" w:firstLine="0"/>
              <w:jc w:val="center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△</w:t>
            </w:r>
          </w:p>
        </w:tc>
      </w:tr>
    </w:tbl>
    <w:p w:rsidR="00000000" w:rsidDel="00000000" w:rsidP="00000000" w:rsidRDefault="00000000" w:rsidRPr="00000000" w14:paraId="00000153">
      <w:pPr>
        <w:jc w:val="center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表七、國際都市和六都再生能源政策比較表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（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△表示待加強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</w:t>
      </w:r>
    </w:p>
    <w:p w:rsidR="00000000" w:rsidDel="00000000" w:rsidP="00000000" w:rsidRDefault="00000000" w:rsidRPr="00000000" w14:paraId="00000155">
      <w:pPr>
        <w:ind w:left="0" w:firstLine="0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3.  六都「發展再生能源效益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」</w:t>
      </w:r>
    </w:p>
    <w:p w:rsidR="00000000" w:rsidDel="00000000" w:rsidP="00000000" w:rsidRDefault="00000000" w:rsidRPr="00000000" w14:paraId="00000156">
      <w:pPr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都市推動再生能源發展，除達成減碳目標，也將帶動產業發展。我們以用電量成長最多的臺中市為例，使用「投入產出法（Input-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Output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 Analysis）」進行產業關聯分析。結果顯示，若臺中市將其屋頂潛力裝置量1173MW全數發展太陽光電，將帶動約3.1萬人次就業機會，並帶來約2千億產值。受益產業以電子零組件業、化學材料業、其他金屬業、電力設備業、礦業和鋼鐵業為主。</w:t>
      </w:r>
    </w:p>
    <w:p w:rsidR="00000000" w:rsidDel="00000000" w:rsidP="00000000" w:rsidRDefault="00000000" w:rsidRPr="00000000" w14:paraId="00000157">
      <w:pPr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結論</w:t>
      </w:r>
    </w:p>
    <w:p w:rsidR="00000000" w:rsidDel="00000000" w:rsidP="00000000" w:rsidRDefault="00000000" w:rsidRPr="00000000" w14:paraId="00000159">
      <w:pPr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highlight w:val="white"/>
          <w:rtl w:val="0"/>
        </w:rPr>
        <w:t xml:space="preserve">        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highlight w:val="white"/>
          <w:rtl w:val="0"/>
        </w:rPr>
        <w:t xml:space="preserve">綜觀國際城市推動再生能源減少化石燃料的案例，綠色和平認為，都市首長的領導力與政策延續性是成功關鍵。由首長訂定長期再生能源目標、組織跨部門工作小組，才有足夠動能落實政策，提供必要資訊，並確保公民參與，讓政策長久延續。</w:t>
      </w: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綠色和平呼籲六都首長善盡氣候責任，比照國際都市，就「都市再生能源目標」做出承諾，並朝《再生能源發展條例》目前規劃方向，800kW以上用電大戶安裝10%再生能源裝置量，嚴格執行轄內用電大戶使用再生能源的規範，以解決空污和暖化問題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15A">
      <w:pPr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720" w:firstLine="0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MingLiu"/>
  <w:font w:name="Times New Roman"/>
  <w:font w:name="Gungsuh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5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「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21世紀再生能源網絡」為一國際性能源政策網路組織，致力於為再生能源的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快速發展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提供政策支持，每年皆產出受國際認可的能源政策和市場發展報告。</w:t>
      </w:r>
    </w:p>
  </w:footnote>
  <w:footnote w:id="1">
    <w:p w:rsidR="00000000" w:rsidDel="00000000" w:rsidP="00000000" w:rsidRDefault="00000000" w:rsidRPr="00000000" w14:paraId="0000015D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 整體而言，六都過去五年都是臺灣用電量的前六名，用電量總和占全臺約七成。</w:t>
      </w:r>
    </w:p>
  </w:footnote>
  <w:footnote w:id="2">
    <w:p w:rsidR="00000000" w:rsidDel="00000000" w:rsidP="00000000" w:rsidRDefault="00000000" w:rsidRPr="00000000" w14:paraId="0000015F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再生能源裝置量，分為太陽光電、風力和其他，「其他」大部分為水庫式水力。由於水庫式水力對環境衝擊較大，且並非地方政府能積極發展之再生能源。此次評比扣除「其他」的部分，僅計算太陽光電和風力的成長狀況。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6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本研究估算六都內800kw以上用電大戶的契約容量總和約8380MW，首長若能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依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再生能源發展條例，「800kw以上用電大戶需安裝契約容量10%再生能源裝置量」的方向施行，將可減少46.6萬噸的二氧化碳排放量。</w:t>
      </w:r>
    </w:p>
  </w:footnote>
  <w:footnote w:id="4">
    <w:p w:rsidR="00000000" w:rsidDel="00000000" w:rsidP="00000000" w:rsidRDefault="00000000" w:rsidRPr="00000000" w14:paraId="0000016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大安森林公園年碳吸附量約389公噸。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